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D3" w:rsidRDefault="00EF6EDC" w:rsidP="00EF6EDC">
      <w:pPr>
        <w:pStyle w:val="Nadpis1"/>
      </w:pPr>
      <w:r>
        <w:t>Analýza cen svozu odpadů</w:t>
      </w:r>
    </w:p>
    <w:p w:rsidR="00381B59" w:rsidRDefault="00381B59" w:rsidP="00B92EDA">
      <w:pPr>
        <w:tabs>
          <w:tab w:val="left" w:pos="3969"/>
        </w:tabs>
        <w:contextualSpacing/>
      </w:pPr>
      <w:r>
        <w:t>Počet obcí, které odevzdaly data</w:t>
      </w:r>
      <w:r w:rsidR="00E67F47">
        <w:rPr>
          <w:rStyle w:val="Znakapoznpodarou"/>
        </w:rPr>
        <w:footnoteReference w:id="1"/>
      </w:r>
      <w:r>
        <w:t>:</w:t>
      </w:r>
      <w:r>
        <w:tab/>
        <w:t>8</w:t>
      </w:r>
    </w:p>
    <w:p w:rsidR="00381B59" w:rsidRDefault="00381B59" w:rsidP="00B92EDA">
      <w:pPr>
        <w:tabs>
          <w:tab w:val="left" w:pos="3969"/>
        </w:tabs>
        <w:contextualSpacing/>
      </w:pPr>
      <w:r>
        <w:t>Počet uvedených svozových firem</w:t>
      </w:r>
      <w:r w:rsidR="00E67F47">
        <w:rPr>
          <w:rStyle w:val="Znakapoznpodarou"/>
        </w:rPr>
        <w:footnoteReference w:id="2"/>
      </w:r>
      <w:r>
        <w:t>:</w:t>
      </w:r>
      <w:r>
        <w:tab/>
        <w:t>11</w:t>
      </w:r>
    </w:p>
    <w:p w:rsidR="00381B59" w:rsidRPr="00381B59" w:rsidRDefault="00381B59" w:rsidP="00B92EDA">
      <w:pPr>
        <w:tabs>
          <w:tab w:val="left" w:pos="3969"/>
        </w:tabs>
        <w:contextualSpacing/>
      </w:pPr>
      <w:r>
        <w:t>Počet d</w:t>
      </w:r>
      <w:r w:rsidRPr="00381B59">
        <w:t>ruh</w:t>
      </w:r>
      <w:r>
        <w:t>ů</w:t>
      </w:r>
      <w:r w:rsidRPr="00381B59">
        <w:t xml:space="preserve"> odpadu</w:t>
      </w:r>
      <w:r w:rsidR="00E67F47">
        <w:rPr>
          <w:rStyle w:val="Znakapoznpodarou"/>
        </w:rPr>
        <w:footnoteReference w:id="3"/>
      </w:r>
      <w:r>
        <w:t>:</w:t>
      </w:r>
      <w:r>
        <w:tab/>
        <w:t>16</w:t>
      </w:r>
    </w:p>
    <w:p w:rsidR="00381B59" w:rsidRDefault="00381B59" w:rsidP="00B92EDA">
      <w:pPr>
        <w:tabs>
          <w:tab w:val="left" w:pos="3969"/>
        </w:tabs>
        <w:contextualSpacing/>
      </w:pPr>
      <w:r>
        <w:t>Počet druhů nádob</w:t>
      </w:r>
      <w:r w:rsidR="00E67F47">
        <w:rPr>
          <w:rStyle w:val="Znakapoznpodarou"/>
        </w:rPr>
        <w:footnoteReference w:id="4"/>
      </w:r>
      <w:r>
        <w:t>:</w:t>
      </w:r>
      <w:r>
        <w:tab/>
      </w:r>
      <w:r w:rsidR="00E67F47">
        <w:t>9</w:t>
      </w:r>
    </w:p>
    <w:p w:rsidR="00381B59" w:rsidRDefault="00381B59" w:rsidP="00B92EDA">
      <w:pPr>
        <w:tabs>
          <w:tab w:val="left" w:pos="3969"/>
        </w:tabs>
      </w:pPr>
      <w:r>
        <w:t>Počet možných frekvencí svozu</w:t>
      </w:r>
      <w:r w:rsidR="00E67F47">
        <w:rPr>
          <w:rStyle w:val="Znakapoznpodarou"/>
        </w:rPr>
        <w:footnoteReference w:id="5"/>
      </w:r>
      <w:r>
        <w:t>:</w:t>
      </w:r>
      <w:r>
        <w:tab/>
        <w:t>9</w:t>
      </w:r>
    </w:p>
    <w:p w:rsidR="00381B59" w:rsidRDefault="00E67F47" w:rsidP="00C7331F">
      <w:pPr>
        <w:jc w:val="both"/>
      </w:pPr>
      <w:r>
        <w:t>Data jednotlivých obcí byla shromážděna do jedné tabulky, která čítala celkem 14</w:t>
      </w:r>
      <w:r w:rsidR="004E5281">
        <w:t>6</w:t>
      </w:r>
      <w:r>
        <w:t xml:space="preserve"> řádků. Aby mohla být data zpracována, bylo třeba sjednotit kategorie u jednotlivých kritérií, a to druh odpadu a frekvence svozu. Z hodnocení bylo vyřazeno 1</w:t>
      </w:r>
      <w:r w:rsidR="00B92EDA">
        <w:t>8</w:t>
      </w:r>
      <w:r>
        <w:t xml:space="preserve"> řádků</w:t>
      </w:r>
      <w:r>
        <w:rPr>
          <w:rStyle w:val="Znakapoznpodarou"/>
        </w:rPr>
        <w:footnoteReference w:id="6"/>
      </w:r>
      <w:r>
        <w:t xml:space="preserve"> z důvodu neuvedení velikosti svozové nádoby a/nebo frekvence svozu</w:t>
      </w:r>
      <w:r w:rsidR="00B92EDA">
        <w:t xml:space="preserve"> a/nebo jednotkové ceny za druh svozu</w:t>
      </w:r>
      <w:r>
        <w:t>. Tato data nebylo možné vyhodnotit.</w:t>
      </w:r>
    </w:p>
    <w:p w:rsidR="00E67F47" w:rsidRDefault="00C7331F" w:rsidP="00C7331F">
      <w:pPr>
        <w:jc w:val="both"/>
      </w:pPr>
      <w:r>
        <w:t>Dále byl spočten počet celkem vyvezených nádob za rok dle vzorce:</w:t>
      </w:r>
    </w:p>
    <w:p w:rsidR="00C7331F" w:rsidRDefault="00C7331F">
      <m:oMathPara>
        <m:oMath>
          <m:r>
            <w:rPr>
              <w:rFonts w:ascii="Cambria Math" w:hAnsi="Cambria Math"/>
            </w:rPr>
            <m:t>Počet celkem vyvezených nádob za rok=Množství jednotek ×Frekvence svozu</m:t>
          </m:r>
        </m:oMath>
      </m:oMathPara>
    </w:p>
    <w:p w:rsidR="00C7331F" w:rsidRDefault="00C7331F" w:rsidP="00C7331F">
      <w:pPr>
        <w:jc w:val="both"/>
      </w:pPr>
      <w:r>
        <w:t>Byla-li zvolena frekvence svozu „mimořádně“, byl počet celkem vyvezených nádob za rok roven počtu vyvezených jednotek.</w:t>
      </w:r>
    </w:p>
    <w:p w:rsidR="00C7331F" w:rsidRDefault="00C7331F" w:rsidP="00C7331F">
      <w:pPr>
        <w:jc w:val="both"/>
      </w:pPr>
      <w:r>
        <w:t>Byla spočtena celková cena svozu určitého druhu odpadu v konkrétní nádobě a při určité frekvenci za rok:</w:t>
      </w:r>
    </w:p>
    <w:p w:rsidR="00C7331F" w:rsidRDefault="00C7331F" w:rsidP="00C7331F">
      <m:oMathPara>
        <m:oMath>
          <m:r>
            <w:rPr>
              <w:rFonts w:ascii="Cambria Math" w:hAnsi="Cambria Math"/>
            </w:rPr>
            <m:t>Cena za rok bez DPH=Jednotková cena za rok bez DPH ×Množství jednotek</m:t>
          </m:r>
        </m:oMath>
      </m:oMathPara>
    </w:p>
    <w:p w:rsidR="00C7331F" w:rsidRDefault="00C7331F" w:rsidP="00C7331F">
      <w:pPr>
        <w:jc w:val="both"/>
      </w:pPr>
      <w:r>
        <w:t>Na základě uvedených cen a počtu celkem vyvezených nádob za rok, byla pak spočítána cena za 1 vývoz 1 nádoby dle vzorce:</w:t>
      </w:r>
    </w:p>
    <w:p w:rsidR="00C7331F" w:rsidRDefault="00C7331F" w:rsidP="00C7331F">
      <m:oMathPara>
        <m:oMath>
          <m:r>
            <w:rPr>
              <w:rFonts w:ascii="Cambria Math" w:hAnsi="Cambria Math"/>
            </w:rPr>
            <m:t>Cena 1 svozu 1 nádoby=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za rok bez DPH</m:t>
              </m:r>
            </m:num>
            <m:den>
              <m:r>
                <w:rPr>
                  <w:rFonts w:ascii="Cambria Math" w:hAnsi="Cambria Math"/>
                </w:rPr>
                <m:t>Počet celkem vyvezených nádob za rok</m:t>
              </m:r>
            </m:den>
          </m:f>
        </m:oMath>
      </m:oMathPara>
    </w:p>
    <w:p w:rsidR="00C7331F" w:rsidRDefault="00B92EDA" w:rsidP="00BB6D21">
      <w:pPr>
        <w:tabs>
          <w:tab w:val="decimal" w:pos="9072"/>
        </w:tabs>
      </w:pPr>
      <w:r>
        <w:t xml:space="preserve">Nejdráže vychází </w:t>
      </w:r>
      <w:r w:rsidR="00BB6D21">
        <w:t>mimořádný</w:t>
      </w:r>
      <w:r>
        <w:t xml:space="preserve"> svoz 1 </w:t>
      </w:r>
      <w:r w:rsidR="00B65AE2">
        <w:t xml:space="preserve">kontejneru 9 </w:t>
      </w:r>
      <w:r w:rsidR="00B65AE2" w:rsidRPr="00EE7F24">
        <w:t>m</w:t>
      </w:r>
      <w:r w:rsidR="00B65AE2" w:rsidRPr="006658BA">
        <w:rPr>
          <w:vertAlign w:val="superscript"/>
        </w:rPr>
        <w:t>3</w:t>
      </w:r>
      <w:r>
        <w:t xml:space="preserve"> nebezpečného odpadu</w:t>
      </w:r>
      <w:r w:rsidR="00BB6D21">
        <w:t xml:space="preserve"> ve Struhařově</w:t>
      </w:r>
      <w:r>
        <w:t xml:space="preserve"> </w:t>
      </w:r>
      <w:r>
        <w:tab/>
      </w:r>
      <w:r w:rsidR="00BB6D21">
        <w:t>7 0</w:t>
      </w:r>
      <w:r>
        <w:t>00,00 Kč</w:t>
      </w:r>
    </w:p>
    <w:p w:rsidR="00B92EDA" w:rsidRDefault="00B92EDA" w:rsidP="00BB6D21">
      <w:pPr>
        <w:tabs>
          <w:tab w:val="decimal" w:pos="9072"/>
        </w:tabs>
      </w:pPr>
      <w:r>
        <w:t xml:space="preserve">Nejlevněji vychází mimořádný svoz 1 </w:t>
      </w:r>
      <w:r w:rsidR="00BB6D21">
        <w:t>pytle</w:t>
      </w:r>
      <w:r>
        <w:t xml:space="preserve"> směsného komunálního odpadu</w:t>
      </w:r>
      <w:r w:rsidR="00BB6D21">
        <w:t xml:space="preserve"> v Louňovicích</w:t>
      </w:r>
      <w:r>
        <w:tab/>
        <w:t>6,50 Kč</w:t>
      </w:r>
    </w:p>
    <w:p w:rsidR="00B65DD3" w:rsidRDefault="00BB6D21" w:rsidP="00B65AE2">
      <w:pPr>
        <w:tabs>
          <w:tab w:val="decimal" w:pos="7371"/>
        </w:tabs>
        <w:jc w:val="both"/>
      </w:pPr>
      <w:r>
        <w:t>Byla vyhledána nejnižší a nejvyšší cena za 1 svoz 1 konkrétní nádoby daného druhu odpadu a vypočtena cena průměrná</w:t>
      </w:r>
      <w:r w:rsidR="00B65DD3">
        <w:t>.</w:t>
      </w:r>
      <w:r w:rsidR="006E0055">
        <w:t xml:space="preserve"> Různé způsoby porovnání cen jsou uvedeny v jednotlivých tabulkách.</w:t>
      </w:r>
      <w:r w:rsidR="00062935">
        <w:t xml:space="preserve"> Na základě minimálních cen byla vytvořena tabulka ideálních cen, kterých by mělo být elektronickou aukcí dosaženo.</w:t>
      </w:r>
    </w:p>
    <w:p w:rsidR="00FF01C9" w:rsidRDefault="00FF01C9" w:rsidP="00FF01C9">
      <w:r>
        <w:br w:type="page"/>
      </w:r>
    </w:p>
    <w:p w:rsidR="004E595A" w:rsidRDefault="004E595A" w:rsidP="004E5281">
      <w:pPr>
        <w:pStyle w:val="Nadpis2"/>
      </w:pPr>
      <w:r>
        <w:lastRenderedPageBreak/>
        <w:t>Cílem e-aukce by mělo být dosažení následujících cen</w:t>
      </w:r>
      <w:r w:rsidR="00EE7F24">
        <w:t xml:space="preserve"> (ceny jsou uvedeny bez DPH)</w:t>
      </w:r>
      <w:r>
        <w:t>:</w:t>
      </w:r>
    </w:p>
    <w:tbl>
      <w:tblPr>
        <w:tblStyle w:val="Mkatabulky"/>
        <w:tblW w:w="96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1701"/>
        <w:gridCol w:w="1134"/>
        <w:gridCol w:w="1134"/>
        <w:gridCol w:w="1134"/>
        <w:gridCol w:w="1275"/>
        <w:gridCol w:w="1276"/>
      </w:tblGrid>
      <w:tr w:rsidR="00EE7F24" w:rsidRPr="006658BA" w:rsidTr="00414469">
        <w:trPr>
          <w:cantSplit/>
          <w:trHeight w:val="510"/>
          <w:tblHeader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Druh odpadu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Velikost nádoby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Frekvence svozu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062935" w:rsidP="00062935">
            <w:pPr>
              <w:keepNext/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Ideální c</w:t>
            </w:r>
            <w:r w:rsidR="00EE7F24" w:rsidRPr="006658BA">
              <w:rPr>
                <w:b/>
                <w:sz w:val="22"/>
                <w:szCs w:val="22"/>
              </w:rPr>
              <w:t>ena za 1 svoz 1</w:t>
            </w:r>
            <w:r w:rsidR="00414469">
              <w:rPr>
                <w:b/>
                <w:sz w:val="22"/>
                <w:szCs w:val="22"/>
              </w:rPr>
              <w:t> </w:t>
            </w:r>
            <w:r w:rsidR="00EE7F24" w:rsidRPr="006658BA">
              <w:rPr>
                <w:b/>
                <w:sz w:val="22"/>
                <w:szCs w:val="22"/>
              </w:rPr>
              <w:t>nádoby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Default="00062935" w:rsidP="00062935">
            <w:pPr>
              <w:keepNext/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Ideální c</w:t>
            </w:r>
            <w:r w:rsidR="00EE7F24">
              <w:rPr>
                <w:b/>
                <w:sz w:val="22"/>
                <w:szCs w:val="22"/>
              </w:rPr>
              <w:t>ena svozu 1 nádoby za rok</w:t>
            </w:r>
          </w:p>
        </w:tc>
      </w:tr>
      <w:tr w:rsidR="00EE7F24" w:rsidRPr="006658BA" w:rsidTr="00414469">
        <w:trPr>
          <w:tblHeader/>
        </w:trPr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EE7F24" w:rsidRPr="006658BA" w:rsidRDefault="00EE7F24" w:rsidP="00EE7F24">
            <w:pPr>
              <w:spacing w:before="0"/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</w:tr>
      <w:tr w:rsidR="00EE7F24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  <w:r w:rsidRPr="006658BA">
              <w:rPr>
                <w:b/>
              </w:rPr>
              <w:t>BRKO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110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30,00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360,00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18x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37,39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673,02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25,88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672,88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35x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34,29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1 200,15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240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36,00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432,00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18x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46,67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840,06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16,88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438,88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35x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41,00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1 435,00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13,79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87627F" w:rsidRDefault="00EE7F24" w:rsidP="00EE7F24">
            <w:pPr>
              <w:jc w:val="right"/>
            </w:pPr>
            <w:r w:rsidRPr="0087627F">
              <w:t xml:space="preserve">717,08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EE7F2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2F57B4" w:rsidRDefault="00EE7F24" w:rsidP="00EE7F2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300,00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 w:rsidRPr="00573AD3">
              <w:t xml:space="preserve"> 500,00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Pr="00573AD3" w:rsidRDefault="00EE7F24" w:rsidP="00EE7F24">
            <w:pPr>
              <w:jc w:val="right"/>
            </w:pPr>
            <w:r>
              <w:t>3 600,00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F24" w:rsidRDefault="00EE7F24" w:rsidP="00EE7F24">
            <w:pPr>
              <w:jc w:val="right"/>
            </w:pPr>
            <w:r w:rsidRPr="0087627F">
              <w:t xml:space="preserve">6 000,00 Kč </w:t>
            </w: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F24" w:rsidRPr="006658BA" w:rsidRDefault="00EE7F24" w:rsidP="001261B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F24" w:rsidRPr="002F57B4" w:rsidRDefault="00EE7F24" w:rsidP="001261B7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1261B7">
            <w:pPr>
              <w:jc w:val="right"/>
            </w:pPr>
            <w:r w:rsidRPr="00573AD3">
              <w:t xml:space="preserve"> 100,00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7F24" w:rsidRPr="00573AD3" w:rsidRDefault="00EE7F24" w:rsidP="001261B7">
            <w:pPr>
              <w:jc w:val="right"/>
            </w:pPr>
          </w:p>
        </w:tc>
      </w:tr>
      <w:tr w:rsidR="00EE7F24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rPr>
                <w:b/>
              </w:rPr>
            </w:pPr>
            <w:r w:rsidRPr="006658BA">
              <w:rPr>
                <w:b/>
              </w:rPr>
              <w:t>Nebezpečný odpad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kontejner 6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  <w:r w:rsidRPr="00573AD3">
              <w:t xml:space="preserve">3 639,00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  <w:r w:rsidRPr="00573AD3">
              <w:t xml:space="preserve">2 609,00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  <w:r w:rsidRPr="00573AD3">
              <w:t xml:space="preserve">3 300,00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</w:tr>
      <w:tr w:rsidR="00EE7F24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E7F24" w:rsidRPr="006658BA" w:rsidRDefault="00EE7F24" w:rsidP="001261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kontejnery 10,5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2F57B4" w:rsidRDefault="00EE7F24" w:rsidP="001261B7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  <w:r w:rsidRPr="00573AD3">
              <w:t xml:space="preserve">2 400,00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E7F24" w:rsidRPr="00573AD3" w:rsidRDefault="00EE7F24" w:rsidP="001261B7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  <w:r w:rsidRPr="006658BA">
              <w:rPr>
                <w:b/>
              </w:rPr>
              <w:t>Směsný komunální odpad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110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13,00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156,00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15x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44,60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669,00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10,83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41,15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281,58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1 069,90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42x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36,13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34,05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1 517,46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1 430,10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keepNext/>
              <w:jc w:val="right"/>
            </w:pPr>
            <w:r w:rsidRPr="004E595A">
              <w:t xml:space="preserve"> 8,29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keepNext/>
              <w:jc w:val="right"/>
            </w:pPr>
            <w:r w:rsidRPr="004E595A">
              <w:t xml:space="preserve"> 32,31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431,08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1 680,12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keepNext/>
              <w:jc w:val="right"/>
            </w:pPr>
            <w:r w:rsidRPr="004E595A">
              <w:t xml:space="preserve"> 40,00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keepNext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271,15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241,15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7 049,90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6 269,90 Kč </w:t>
            </w:r>
          </w:p>
        </w:tc>
      </w:tr>
      <w:tr w:rsidR="00414469" w:rsidRPr="002F57B4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225,97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143,08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11 750,44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7 440,16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250,00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206,00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240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123,25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1 479,00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14,90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61,54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387,40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1 600,04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42x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51,21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2 150,82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13,50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4E595A" w:rsidRDefault="00414469" w:rsidP="00414469">
            <w:pPr>
              <w:jc w:val="right"/>
            </w:pPr>
            <w:r w:rsidRPr="004E595A">
              <w:t xml:space="preserve"> 46,92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702,00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 xml:space="preserve">2 439,84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55,00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80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22,04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573,04 Kč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22,02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  <w:r w:rsidRPr="00655EDF">
              <w:t>1 145,04 Kč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2 337,00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6,50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655EDF" w:rsidRDefault="00414469" w:rsidP="00414469"/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Default="00414469" w:rsidP="00414469"/>
        </w:tc>
      </w:tr>
      <w:tr w:rsidR="00414469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  <w:r w:rsidRPr="006658BA">
              <w:rPr>
                <w:b/>
              </w:rPr>
              <w:lastRenderedPageBreak/>
              <w:t>Tříděný odpad - papír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145,00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1 740,00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3 900,00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36,25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36,25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1 885,00 Kč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1 885,00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keepNext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keepNext/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keepNext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22,00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  <w:r w:rsidRPr="006658BA">
              <w:rPr>
                <w:b/>
              </w:rPr>
              <w:t>Tříděný odpad - plast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104x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2 144,80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223 059,20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1 885,00 Kč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1 885,00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185,00 Kč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20,00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  <w:r w:rsidRPr="006658BA">
              <w:rPr>
                <w:b/>
              </w:rPr>
              <w:t>Tříděný odpad - sklo barevné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145,00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1 740,00 Kč </w:t>
            </w:r>
          </w:p>
        </w:tc>
      </w:tr>
      <w:tr w:rsidR="00414469" w:rsidRPr="00573AD3" w:rsidTr="00414469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  <w:r w:rsidRPr="006658BA">
              <w:rPr>
                <w:b/>
              </w:rPr>
              <w:t>Tříděný odpad - sklo směs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74,89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435,00 Kč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898,68 Kč </w:t>
            </w: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25,00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  <w:r w:rsidRPr="006658BA">
              <w:rPr>
                <w:b/>
              </w:rPr>
              <w:t>Velkoobjemový odpad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Pr="002F57B4">
              <w:rPr>
                <w:i/>
                <w:vertAlign w:val="superscript"/>
              </w:rPr>
              <w:t xml:space="preserve"> </w:t>
            </w:r>
            <w:r w:rsidRPr="002F57B4">
              <w:rPr>
                <w:i/>
              </w:rPr>
              <w:t>m</w:t>
            </w:r>
            <w:r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573AD3" w:rsidRDefault="00414469" w:rsidP="00414469">
            <w:pPr>
              <w:jc w:val="right"/>
            </w:pPr>
            <w:r w:rsidRPr="00573AD3">
              <w:t xml:space="preserve">3 500,00 Kč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14469" w:rsidRPr="00345AB1" w:rsidRDefault="00414469" w:rsidP="00414469">
            <w:pPr>
              <w:jc w:val="right"/>
            </w:pPr>
          </w:p>
        </w:tc>
      </w:tr>
      <w:tr w:rsidR="00414469" w:rsidRPr="00573AD3" w:rsidTr="00414469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469" w:rsidRPr="006658BA" w:rsidRDefault="00414469" w:rsidP="00414469">
            <w:pPr>
              <w:rPr>
                <w:b/>
              </w:rPr>
            </w:pPr>
            <w:r w:rsidRPr="006658BA">
              <w:rPr>
                <w:b/>
              </w:rPr>
              <w:t>Tříděný odpad - tetrapak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2F57B4" w:rsidRDefault="00414469" w:rsidP="00414469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  <w:r w:rsidRPr="00573AD3">
              <w:t xml:space="preserve"> 213,42 Kč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573AD3" w:rsidRDefault="00414469" w:rsidP="00414469">
            <w:pPr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Pr="00345AB1" w:rsidRDefault="00414469" w:rsidP="00414469">
            <w:pPr>
              <w:jc w:val="right"/>
            </w:pPr>
            <w:r w:rsidRPr="00345AB1">
              <w:t xml:space="preserve"> 2 561,04 Kč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4469" w:rsidRDefault="00414469" w:rsidP="00414469">
            <w:pPr>
              <w:jc w:val="right"/>
            </w:pPr>
          </w:p>
        </w:tc>
      </w:tr>
    </w:tbl>
    <w:p w:rsidR="005A7083" w:rsidRDefault="00FF01C9" w:rsidP="009567A6">
      <w:pPr>
        <w:jc w:val="both"/>
      </w:pPr>
      <w:r>
        <w:t xml:space="preserve">Celkové úspory, kterých obce na nákladech za svoz odpadu dosáhnou, se odvíjí od výsledné ceny, dosažené elektronickou aukcí. Následující tabulka ukazuje výši úspor </w:t>
      </w:r>
      <w:r w:rsidR="009567A6">
        <w:t xml:space="preserve">za svoz odpadu za rok </w:t>
      </w:r>
      <w:r>
        <w:t>při dosažní ceny ideální a cen o 1 % nebo 1,5 % vyšších než je cena ideální.</w:t>
      </w:r>
    </w:p>
    <w:tbl>
      <w:tblPr>
        <w:tblStyle w:val="Tabulkasmkou4zvraznn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561"/>
        <w:gridCol w:w="1745"/>
        <w:gridCol w:w="1984"/>
      </w:tblGrid>
      <w:tr w:rsidR="00FF01C9" w:rsidRPr="005A7083" w:rsidTr="00FF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01C9" w:rsidRPr="005A7083" w:rsidRDefault="00FF01C9" w:rsidP="005A7083">
            <w:r w:rsidRPr="005A7083">
              <w:rPr>
                <w:color w:val="auto"/>
              </w:rPr>
              <w:t>Obec</w:t>
            </w:r>
          </w:p>
        </w:tc>
        <w:tc>
          <w:tcPr>
            <w:tcW w:w="52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F01C9" w:rsidRPr="005A7083" w:rsidRDefault="00FF01C9" w:rsidP="005A7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Ú</w:t>
            </w:r>
            <w:r w:rsidRPr="005A7083">
              <w:rPr>
                <w:color w:val="auto"/>
              </w:rPr>
              <w:t>spora</w:t>
            </w:r>
          </w:p>
        </w:tc>
      </w:tr>
      <w:tr w:rsidR="00FF01C9" w:rsidRPr="005A7083" w:rsidTr="00FF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F01C9" w:rsidRPr="005A7083" w:rsidRDefault="00FF01C9" w:rsidP="005A7083"/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FF01C9" w:rsidRPr="00FF01C9" w:rsidRDefault="00FF01C9" w:rsidP="005A7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1C9">
              <w:rPr>
                <w:b/>
              </w:rPr>
              <w:t>Ideální cena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</w:tcPr>
          <w:p w:rsidR="00FF01C9" w:rsidRPr="00FF01C9" w:rsidRDefault="00FF01C9" w:rsidP="005A7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1C9">
              <w:rPr>
                <w:b/>
              </w:rPr>
              <w:t>Cena o 1% vyšší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FF01C9" w:rsidRPr="00FF01C9" w:rsidRDefault="00FF01C9" w:rsidP="005A7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01C9">
              <w:rPr>
                <w:b/>
              </w:rPr>
              <w:t>Cena o 1,5 % vyšší</w:t>
            </w:r>
          </w:p>
        </w:tc>
      </w:tr>
      <w:tr w:rsidR="00FF01C9" w:rsidRPr="005A7083" w:rsidTr="00FF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</w:tcPr>
          <w:p w:rsidR="00FF01C9" w:rsidRPr="005A7083" w:rsidRDefault="00FF01C9" w:rsidP="00FF01C9">
            <w:r w:rsidRPr="005A7083">
              <w:t>Černé Voděrady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F01C9" w:rsidRPr="005A7083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083">
              <w:t xml:space="preserve">235 760,02 Kč </w:t>
            </w:r>
          </w:p>
        </w:tc>
        <w:tc>
          <w:tcPr>
            <w:tcW w:w="1745" w:type="dxa"/>
            <w:tcBorders>
              <w:top w:val="single" w:sz="12" w:space="0" w:color="auto"/>
            </w:tcBorders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235 076,00 Kč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234 733,99 Kč </w:t>
            </w:r>
          </w:p>
        </w:tc>
      </w:tr>
      <w:tr w:rsidR="00FF01C9" w:rsidRPr="005A7083" w:rsidTr="00FF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Klokočná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083">
              <w:t xml:space="preserve">86 842,24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85 639,60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85 038,28 Kč </w:t>
            </w:r>
          </w:p>
        </w:tc>
      </w:tr>
      <w:tr w:rsidR="00FF01C9" w:rsidRPr="005A7083" w:rsidTr="00FF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Louňovice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083">
              <w:t xml:space="preserve">570 465,04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562 918,12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559 144,66 Kč </w:t>
            </w:r>
          </w:p>
        </w:tc>
      </w:tr>
      <w:tr w:rsidR="00FF01C9" w:rsidRPr="005A7083" w:rsidTr="00FF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Struhařov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083">
              <w:t xml:space="preserve">428 748,56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425 771,12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424 282,39 Kč </w:t>
            </w:r>
          </w:p>
        </w:tc>
      </w:tr>
      <w:tr w:rsidR="00FF01C9" w:rsidRPr="005A7083" w:rsidTr="00FF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Světice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083">
              <w:t xml:space="preserve">12 521,70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3 329,49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532A62">
              <w:t xml:space="preserve">1 266,61 Kč </w:t>
            </w:r>
          </w:p>
        </w:tc>
      </w:tr>
      <w:tr w:rsidR="00FF01C9" w:rsidRPr="005A7083" w:rsidTr="00FF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Tehov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083">
              <w:t xml:space="preserve">361 721,28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358 280,92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356 560,74 Kč </w:t>
            </w:r>
          </w:p>
        </w:tc>
      </w:tr>
      <w:tr w:rsidR="00FF01C9" w:rsidRPr="005A7083" w:rsidTr="00FF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Všestary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083">
              <w:t xml:space="preserve">127 995,00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121 972,35 Kč </w:t>
            </w:r>
          </w:p>
        </w:tc>
        <w:tc>
          <w:tcPr>
            <w:tcW w:w="1984" w:type="dxa"/>
          </w:tcPr>
          <w:p w:rsidR="00FF01C9" w:rsidRPr="00532A62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A62">
              <w:t xml:space="preserve">118 961,03 Kč </w:t>
            </w:r>
          </w:p>
        </w:tc>
      </w:tr>
      <w:tr w:rsidR="00FF01C9" w:rsidRPr="005A7083" w:rsidTr="00FF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F01C9" w:rsidRPr="005A7083" w:rsidRDefault="00FF01C9" w:rsidP="00FF01C9">
            <w:r w:rsidRPr="005A7083">
              <w:t>Vyžlovka</w:t>
            </w:r>
          </w:p>
        </w:tc>
        <w:tc>
          <w:tcPr>
            <w:tcW w:w="0" w:type="auto"/>
          </w:tcPr>
          <w:p w:rsidR="00FF01C9" w:rsidRPr="005A7083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083">
              <w:t xml:space="preserve">371 652,96 Kč </w:t>
            </w:r>
          </w:p>
        </w:tc>
        <w:tc>
          <w:tcPr>
            <w:tcW w:w="1745" w:type="dxa"/>
          </w:tcPr>
          <w:p w:rsidR="00FF01C9" w:rsidRPr="00532A62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367 733,84 Kč </w:t>
            </w:r>
          </w:p>
        </w:tc>
        <w:tc>
          <w:tcPr>
            <w:tcW w:w="1984" w:type="dxa"/>
          </w:tcPr>
          <w:p w:rsidR="00FF01C9" w:rsidRDefault="00FF01C9" w:rsidP="00FF01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A62">
              <w:t xml:space="preserve">365 774,28 Kč </w:t>
            </w:r>
          </w:p>
        </w:tc>
      </w:tr>
      <w:tr w:rsidR="00FF01C9" w:rsidRPr="005A7083" w:rsidTr="00FF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</w:tcPr>
          <w:p w:rsidR="00FF01C9" w:rsidRPr="005A7083" w:rsidRDefault="00FF01C9" w:rsidP="00FF01C9">
            <w:r w:rsidRPr="005A7083">
              <w:t>Celkov</w:t>
            </w:r>
            <w:r>
              <w:t>á</w:t>
            </w:r>
            <w:r w:rsidRPr="005A7083">
              <w:t xml:space="preserve"> </w:t>
            </w:r>
            <w:r>
              <w:t>úspora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F01C9" w:rsidRPr="005A7083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7083">
              <w:rPr>
                <w:b/>
              </w:rPr>
              <w:t>2 195 706,80 Kč</w:t>
            </w:r>
          </w:p>
        </w:tc>
        <w:tc>
          <w:tcPr>
            <w:tcW w:w="1745" w:type="dxa"/>
            <w:tcBorders>
              <w:bottom w:val="single" w:sz="18" w:space="0" w:color="auto"/>
            </w:tcBorders>
          </w:tcPr>
          <w:p w:rsidR="00FF01C9" w:rsidRPr="00FF01C9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01C9">
              <w:rPr>
                <w:b/>
              </w:rPr>
              <w:t xml:space="preserve">235 076,00 Kč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F01C9" w:rsidRPr="00FF01C9" w:rsidRDefault="00FF01C9" w:rsidP="00FF01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01C9">
              <w:rPr>
                <w:b/>
              </w:rPr>
              <w:t xml:space="preserve">234 733,99 Kč </w:t>
            </w:r>
          </w:p>
        </w:tc>
      </w:tr>
    </w:tbl>
    <w:p w:rsidR="005A7083" w:rsidRDefault="005A7083" w:rsidP="00FF01C9">
      <w:pPr>
        <w:jc w:val="both"/>
      </w:pPr>
      <w:r>
        <w:t>K jednotlivým uvedeným svozům byla přiřazena minimální cena mezi obcemi. Do výpočtu byly zahrnuty všechny řádky z tabulky (i ty z analýzy vyřazené). V řádcích, které byly z analýzy vyřazené, byla ponechána ce</w:t>
      </w:r>
      <w:r w:rsidR="00BC76B0">
        <w:t xml:space="preserve">na </w:t>
      </w:r>
      <w:r>
        <w:t xml:space="preserve">uváděná </w:t>
      </w:r>
      <w:r w:rsidR="00BC76B0">
        <w:t>danou obcí (z dané položky tudíž obci neplyne žádná úspora)</w:t>
      </w:r>
      <w:r>
        <w:t>.</w:t>
      </w:r>
    </w:p>
    <w:p w:rsidR="00BC76B0" w:rsidRDefault="00BC76B0" w:rsidP="00FF01C9">
      <w:pPr>
        <w:jc w:val="both"/>
      </w:pPr>
      <w:r>
        <w:t>Celková úspora je tedy spočítána jako součet úspor dosažených v rámci jednotlivých svozů.</w:t>
      </w:r>
      <w:r w:rsidR="00062935">
        <w:t xml:space="preserve"> Úspora v rámci daného svozu je spočtena jako rozdíl nákladů ve stávajících cenách a nákladů v ideálních cenách.</w:t>
      </w:r>
    </w:p>
    <w:p w:rsidR="00BC76B0" w:rsidRDefault="00062935">
      <m:oMathPara>
        <m:oMath>
          <m:r>
            <w:rPr>
              <w:rFonts w:ascii="Cambria Math" w:hAnsi="Cambria Math"/>
            </w:rPr>
            <w:lastRenderedPageBreak/>
            <m:t>Úspora=Cena za rok bez DPH-ideální cena*počet celkem vyvezených nádob</m:t>
          </m:r>
        </m:oMath>
      </m:oMathPara>
    </w:p>
    <w:p w:rsidR="00062935" w:rsidRDefault="00062935" w:rsidP="00FF01C9">
      <w:pPr>
        <w:jc w:val="both"/>
      </w:pPr>
      <w:r>
        <w:t>Z tabulky vyplývá, že nejlépe má ceny vyjednané obec Světice, největší úsporu by projekt přinesl obci Louňovice.</w:t>
      </w:r>
      <w:r w:rsidR="00FF01C9">
        <w:t xml:space="preserve"> Jakmile se podaří elektronickou aukcí dosáhnout cen o více než procento horších než jsou ceny ideální, celý projekt se stává pro Světice silně nevyhovující, protože jejich celkové náklady na svoz vzrostou.</w:t>
      </w:r>
    </w:p>
    <w:p w:rsidR="00BB6D21" w:rsidRDefault="00B65DD3" w:rsidP="00B65DD3">
      <w:pPr>
        <w:pStyle w:val="Nadpis2"/>
      </w:pPr>
      <w:r>
        <w:t>Přehled cen 1 svozu 1 konkrétní nádoby daného druhu odpadu</w:t>
      </w:r>
      <w:r w:rsidR="009E1D46">
        <w:t xml:space="preserve"> bez ohledu na to, zda jsou nádoby na odpad pronajímány od svozové společnosti či nikoliv a o jakou frekvenci svozu se jedná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1"/>
        <w:gridCol w:w="2044"/>
        <w:gridCol w:w="1381"/>
        <w:gridCol w:w="1336"/>
        <w:gridCol w:w="1250"/>
        <w:gridCol w:w="776"/>
      </w:tblGrid>
      <w:tr w:rsidR="00BB6D21" w:rsidRPr="00BB6D21" w:rsidTr="00B65DD3">
        <w:trPr>
          <w:cantSplit/>
          <w:trHeight w:val="1134"/>
        </w:trPr>
        <w:tc>
          <w:tcPr>
            <w:tcW w:w="0" w:type="auto"/>
            <w:vAlign w:val="center"/>
          </w:tcPr>
          <w:p w:rsidR="00BB6D21" w:rsidRPr="00BB6D21" w:rsidRDefault="009E1D46" w:rsidP="00B65DD3">
            <w:pPr>
              <w:keepNext/>
            </w:pPr>
            <w:r>
              <w:t>Druh odpadu</w:t>
            </w:r>
          </w:p>
        </w:tc>
        <w:tc>
          <w:tcPr>
            <w:tcW w:w="0" w:type="auto"/>
            <w:vAlign w:val="center"/>
          </w:tcPr>
          <w:p w:rsidR="00BB6D21" w:rsidRPr="00BB6D21" w:rsidRDefault="009E1D46" w:rsidP="00B65DD3">
            <w:pPr>
              <w:keepNext/>
            </w:pPr>
            <w:r>
              <w:t>Velikost nádoby</w:t>
            </w:r>
          </w:p>
        </w:tc>
        <w:tc>
          <w:tcPr>
            <w:tcW w:w="1381" w:type="dxa"/>
            <w:textDirection w:val="btLr"/>
          </w:tcPr>
          <w:p w:rsidR="00BB6D21" w:rsidRPr="00BB6D21" w:rsidRDefault="00BB6D21" w:rsidP="00B65DD3">
            <w:pPr>
              <w:keepNext/>
              <w:tabs>
                <w:tab w:val="decimal" w:pos="767"/>
              </w:tabs>
              <w:ind w:left="113" w:right="113"/>
            </w:pPr>
            <w:r w:rsidRPr="00BB6D21">
              <w:t>Minim</w:t>
            </w:r>
            <w:r>
              <w:t>ální</w:t>
            </w:r>
            <w:r w:rsidRPr="00BB6D21">
              <w:t xml:space="preserve"> cena za 1 svoz 1 nádoby</w:t>
            </w:r>
          </w:p>
        </w:tc>
        <w:tc>
          <w:tcPr>
            <w:tcW w:w="1336" w:type="dxa"/>
            <w:textDirection w:val="btLr"/>
          </w:tcPr>
          <w:p w:rsidR="00BB6D21" w:rsidRPr="00BB6D21" w:rsidRDefault="00BB6D21" w:rsidP="00B65DD3">
            <w:pPr>
              <w:keepNext/>
              <w:ind w:left="113" w:right="113"/>
            </w:pPr>
            <w:r w:rsidRPr="00BB6D21">
              <w:t>Maxim</w:t>
            </w:r>
            <w:r>
              <w:t>ální</w:t>
            </w:r>
            <w:r w:rsidR="009E1D46">
              <w:t xml:space="preserve"> cena za 1 svoz 1 nádoby</w:t>
            </w:r>
          </w:p>
        </w:tc>
        <w:tc>
          <w:tcPr>
            <w:tcW w:w="0" w:type="auto"/>
            <w:textDirection w:val="btLr"/>
          </w:tcPr>
          <w:p w:rsidR="00BB6D21" w:rsidRPr="00BB6D21" w:rsidRDefault="00BB6D21" w:rsidP="00B65DD3">
            <w:pPr>
              <w:keepNext/>
              <w:ind w:left="113" w:right="113"/>
            </w:pPr>
            <w:r w:rsidRPr="00BB6D21">
              <w:t>Průměr</w:t>
            </w:r>
            <w:r>
              <w:t>ná</w:t>
            </w:r>
            <w:r w:rsidR="009E1D46">
              <w:t xml:space="preserve"> cena za 1 svoz 1 nádoby</w:t>
            </w:r>
          </w:p>
        </w:tc>
        <w:tc>
          <w:tcPr>
            <w:tcW w:w="776" w:type="dxa"/>
            <w:textDirection w:val="btLr"/>
          </w:tcPr>
          <w:p w:rsidR="00BB6D21" w:rsidRPr="00BB6D21" w:rsidRDefault="00BB6D21" w:rsidP="00B65DD3">
            <w:pPr>
              <w:keepNext/>
              <w:ind w:left="113" w:right="113"/>
            </w:pPr>
            <w:r>
              <w:t>Velikost vzorku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BRKO</w:t>
            </w: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25,88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38,33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31,35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7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240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13,79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48,39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33,69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8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DE047E" w:rsidP="00B65DD3">
            <w:pPr>
              <w:keepNext/>
            </w:pPr>
            <w:r w:rsidRPr="00B65DD3">
              <w:t>Kontejner 9 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100,00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500,00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300,00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3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Nebezpečný odpad</w:t>
            </w:r>
          </w:p>
        </w:tc>
        <w:tc>
          <w:tcPr>
            <w:tcW w:w="0" w:type="auto"/>
            <w:vAlign w:val="center"/>
          </w:tcPr>
          <w:p w:rsidR="009E1D46" w:rsidRPr="00B65DD3" w:rsidRDefault="00DE047E" w:rsidP="00B65DD3">
            <w:pPr>
              <w:keepNext/>
            </w:pPr>
            <w:r w:rsidRPr="00B65DD3">
              <w:t>Kontejner 6 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3 639,00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3 639,00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3 639,00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1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DE047E" w:rsidP="00B65DD3">
            <w:pPr>
              <w:keepNext/>
            </w:pPr>
            <w:r w:rsidRPr="00B65DD3">
              <w:t>Kontejner 9 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2 609,00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7 000,00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5 199,38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8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 xml:space="preserve">kontejnery </w:t>
            </w:r>
            <w:r w:rsidR="00DE047E" w:rsidRPr="00B65DD3">
              <w:t xml:space="preserve">10,5 </w:t>
            </w:r>
            <w:r w:rsidR="00DE047E" w:rsidRPr="006658BA">
              <w:rPr>
                <w:vertAlign w:val="superscript"/>
              </w:rPr>
              <w:t>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2 400,00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2 400,00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2 400,00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1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Směsný komunální odpad</w:t>
            </w: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8,29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65,42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39,40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27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143,08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271,15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219,47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8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240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13,50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123,25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54,15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17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80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22,02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22,04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22,03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DE047E" w:rsidP="00B65DD3">
            <w:pPr>
              <w:keepNext/>
            </w:pPr>
            <w:r w:rsidRPr="00B65DD3">
              <w:t>Kontejner 9 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2 337,00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3 000,00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2 668,50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pytel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6,50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52,00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34,17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3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Tříděný odpad - papír</w:t>
            </w: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255,00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138,49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11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pytel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22,00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22,00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22,00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Tříděný odpad - plast</w:t>
            </w: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2 144,80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311,27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11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pytel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20,00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20,00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BB6D21" w:rsidRPr="00BB6D21" w:rsidTr="00B65DD3">
        <w:tc>
          <w:tcPr>
            <w:tcW w:w="0" w:type="auto"/>
            <w:vAlign w:val="center"/>
          </w:tcPr>
          <w:p w:rsidR="00BB6D21" w:rsidRPr="00BB6D21" w:rsidRDefault="00BB6D21" w:rsidP="00B65DD3">
            <w:pPr>
              <w:keepNext/>
            </w:pPr>
            <w:r w:rsidRPr="00BB6D21">
              <w:t>Tříděný odpad - sklo barevné</w:t>
            </w:r>
          </w:p>
        </w:tc>
        <w:tc>
          <w:tcPr>
            <w:tcW w:w="0" w:type="auto"/>
            <w:vAlign w:val="center"/>
          </w:tcPr>
          <w:p w:rsidR="00BB6D21" w:rsidRPr="00B65DD3" w:rsidRDefault="00BB6D21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BB6D21" w:rsidRPr="00B65DD3" w:rsidRDefault="00BB6D21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145,00 Kč </w:t>
            </w:r>
          </w:p>
        </w:tc>
        <w:tc>
          <w:tcPr>
            <w:tcW w:w="1336" w:type="dxa"/>
          </w:tcPr>
          <w:p w:rsidR="00BB6D21" w:rsidRPr="00B65DD3" w:rsidRDefault="00BB6D21" w:rsidP="00B65DD3">
            <w:pPr>
              <w:keepNext/>
              <w:jc w:val="right"/>
            </w:pPr>
            <w:r w:rsidRPr="00B65DD3">
              <w:t xml:space="preserve"> 296,67 Kč </w:t>
            </w:r>
          </w:p>
        </w:tc>
        <w:tc>
          <w:tcPr>
            <w:tcW w:w="0" w:type="auto"/>
          </w:tcPr>
          <w:p w:rsidR="00BB6D21" w:rsidRPr="00B65DD3" w:rsidRDefault="00BB6D21" w:rsidP="00B65DD3">
            <w:pPr>
              <w:keepNext/>
              <w:jc w:val="right"/>
            </w:pPr>
            <w:r w:rsidRPr="00B65DD3">
              <w:t xml:space="preserve"> 220,83 Kč </w:t>
            </w:r>
          </w:p>
        </w:tc>
        <w:tc>
          <w:tcPr>
            <w:tcW w:w="776" w:type="dxa"/>
          </w:tcPr>
          <w:p w:rsidR="00BB6D21" w:rsidRPr="00B65DD3" w:rsidRDefault="00BB6D21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9E1D46" w:rsidRPr="00BB6D21" w:rsidTr="00B65DD3">
        <w:tc>
          <w:tcPr>
            <w:tcW w:w="0" w:type="auto"/>
            <w:vMerge w:val="restart"/>
            <w:vAlign w:val="center"/>
          </w:tcPr>
          <w:p w:rsidR="009E1D46" w:rsidRPr="00BB6D21" w:rsidRDefault="009E1D46" w:rsidP="00B65DD3">
            <w:pPr>
              <w:keepNext/>
            </w:pPr>
            <w:r w:rsidRPr="00BB6D21">
              <w:t>Tříděný odpad - sklo směs</w:t>
            </w: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507,00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172,59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7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pytel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25,00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25,00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25,00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2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9E1D46" w:rsidP="00B65DD3">
            <w:pPr>
              <w:keepNext/>
            </w:pPr>
            <w:r w:rsidRPr="00B65DD3">
              <w:t>Velkoobjemový odpad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3 350,00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3 600,00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3 483,33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3</w:t>
            </w:r>
          </w:p>
        </w:tc>
      </w:tr>
      <w:tr w:rsidR="009E1D46" w:rsidRPr="00BB6D21" w:rsidTr="00B65DD3">
        <w:tc>
          <w:tcPr>
            <w:tcW w:w="0" w:type="auto"/>
            <w:vMerge/>
            <w:vAlign w:val="center"/>
          </w:tcPr>
          <w:p w:rsidR="009E1D46" w:rsidRPr="00BB6D21" w:rsidRDefault="009E1D46" w:rsidP="00B65DD3">
            <w:pPr>
              <w:keepNext/>
            </w:pPr>
          </w:p>
        </w:tc>
        <w:tc>
          <w:tcPr>
            <w:tcW w:w="0" w:type="auto"/>
            <w:vAlign w:val="center"/>
          </w:tcPr>
          <w:p w:rsidR="009E1D46" w:rsidRPr="00B65DD3" w:rsidRDefault="00DE047E" w:rsidP="00B65DD3">
            <w:pPr>
              <w:keepNext/>
            </w:pPr>
            <w:r w:rsidRPr="00B65DD3">
              <w:t>Kontejner 9 m3</w:t>
            </w:r>
          </w:p>
        </w:tc>
        <w:tc>
          <w:tcPr>
            <w:tcW w:w="1381" w:type="dxa"/>
          </w:tcPr>
          <w:p w:rsidR="009E1D46" w:rsidRPr="00B65DD3" w:rsidRDefault="009E1D46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3 350,00 Kč </w:t>
            </w:r>
          </w:p>
        </w:tc>
        <w:tc>
          <w:tcPr>
            <w:tcW w:w="1336" w:type="dxa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3 600,00 Kč </w:t>
            </w:r>
          </w:p>
        </w:tc>
        <w:tc>
          <w:tcPr>
            <w:tcW w:w="0" w:type="auto"/>
          </w:tcPr>
          <w:p w:rsidR="009E1D46" w:rsidRPr="00B65DD3" w:rsidRDefault="009E1D46" w:rsidP="00B65DD3">
            <w:pPr>
              <w:keepNext/>
              <w:jc w:val="right"/>
            </w:pPr>
            <w:r w:rsidRPr="00B65DD3">
              <w:t xml:space="preserve"> 3 483,33 Kč </w:t>
            </w:r>
          </w:p>
        </w:tc>
        <w:tc>
          <w:tcPr>
            <w:tcW w:w="776" w:type="dxa"/>
          </w:tcPr>
          <w:p w:rsidR="009E1D46" w:rsidRPr="00B65DD3" w:rsidRDefault="009E1D46" w:rsidP="00B65DD3">
            <w:pPr>
              <w:keepNext/>
              <w:jc w:val="center"/>
            </w:pPr>
            <w:r w:rsidRPr="00B65DD3">
              <w:t>3</w:t>
            </w:r>
          </w:p>
        </w:tc>
      </w:tr>
      <w:tr w:rsidR="00BB6D21" w:rsidRPr="00BB6D21" w:rsidTr="00B65DD3">
        <w:tc>
          <w:tcPr>
            <w:tcW w:w="0" w:type="auto"/>
            <w:vAlign w:val="center"/>
          </w:tcPr>
          <w:p w:rsidR="00BB6D21" w:rsidRPr="00BB6D21" w:rsidRDefault="00BB6D21" w:rsidP="00B65DD3">
            <w:pPr>
              <w:keepNext/>
            </w:pPr>
            <w:r w:rsidRPr="00BB6D21">
              <w:t>Tříděný odpad - tetrapak</w:t>
            </w:r>
          </w:p>
        </w:tc>
        <w:tc>
          <w:tcPr>
            <w:tcW w:w="0" w:type="auto"/>
            <w:vAlign w:val="center"/>
          </w:tcPr>
          <w:p w:rsidR="00BB6D21" w:rsidRPr="00B65DD3" w:rsidRDefault="00BB6D21" w:rsidP="00B65DD3">
            <w:pPr>
              <w:keepNext/>
            </w:pPr>
            <w:r w:rsidRPr="00B65DD3">
              <w:t>1100 l</w:t>
            </w:r>
          </w:p>
        </w:tc>
        <w:tc>
          <w:tcPr>
            <w:tcW w:w="1381" w:type="dxa"/>
          </w:tcPr>
          <w:p w:rsidR="00BB6D21" w:rsidRPr="00B65DD3" w:rsidRDefault="00BB6D21" w:rsidP="00B65DD3">
            <w:pPr>
              <w:keepNext/>
              <w:tabs>
                <w:tab w:val="decimal" w:pos="767"/>
              </w:tabs>
              <w:jc w:val="right"/>
            </w:pPr>
            <w:r w:rsidRPr="00B65DD3">
              <w:t xml:space="preserve"> 213,42 Kč </w:t>
            </w:r>
          </w:p>
        </w:tc>
        <w:tc>
          <w:tcPr>
            <w:tcW w:w="1336" w:type="dxa"/>
          </w:tcPr>
          <w:p w:rsidR="00BB6D21" w:rsidRPr="00B65DD3" w:rsidRDefault="00BB6D21" w:rsidP="00B65DD3">
            <w:pPr>
              <w:keepNext/>
              <w:jc w:val="right"/>
            </w:pPr>
            <w:r w:rsidRPr="00B65DD3">
              <w:t xml:space="preserve"> 213,42 Kč </w:t>
            </w:r>
          </w:p>
        </w:tc>
        <w:tc>
          <w:tcPr>
            <w:tcW w:w="0" w:type="auto"/>
          </w:tcPr>
          <w:p w:rsidR="00BB6D21" w:rsidRPr="00B65DD3" w:rsidRDefault="00BB6D21" w:rsidP="00B65DD3">
            <w:pPr>
              <w:keepNext/>
              <w:jc w:val="right"/>
            </w:pPr>
            <w:r w:rsidRPr="00B65DD3">
              <w:t xml:space="preserve"> 213,42 Kč </w:t>
            </w:r>
          </w:p>
        </w:tc>
        <w:tc>
          <w:tcPr>
            <w:tcW w:w="776" w:type="dxa"/>
          </w:tcPr>
          <w:p w:rsidR="00BB6D21" w:rsidRPr="00B65DD3" w:rsidRDefault="00BB6D21" w:rsidP="00B65DD3">
            <w:pPr>
              <w:keepNext/>
              <w:jc w:val="center"/>
            </w:pPr>
            <w:r w:rsidRPr="00B65DD3">
              <w:t>1</w:t>
            </w:r>
          </w:p>
        </w:tc>
      </w:tr>
    </w:tbl>
    <w:p w:rsidR="00BB6D21" w:rsidRDefault="00BB6D21" w:rsidP="00B92EDA">
      <w:pPr>
        <w:tabs>
          <w:tab w:val="decimal" w:pos="7371"/>
        </w:tabs>
      </w:pPr>
    </w:p>
    <w:p w:rsidR="006E0055" w:rsidRDefault="006E0055">
      <w:pPr>
        <w:rPr>
          <w:caps/>
          <w:spacing w:val="15"/>
        </w:rPr>
      </w:pPr>
      <w:r>
        <w:br w:type="page"/>
      </w:r>
    </w:p>
    <w:p w:rsidR="00B65DD3" w:rsidRDefault="00B65DD3" w:rsidP="00B65DD3">
      <w:pPr>
        <w:pStyle w:val="Nadpis2"/>
      </w:pPr>
      <w:r>
        <w:lastRenderedPageBreak/>
        <w:t>Přehled cen 1 svozu 1 konkrétní nádoby daného druhu odpadu v pronajatých nádobách bez ohledu na to, o jakou frekvenci svozu se jedná</w:t>
      </w:r>
    </w:p>
    <w:p w:rsidR="00DE047E" w:rsidRPr="00DE047E" w:rsidRDefault="00DE047E" w:rsidP="00DE047E">
      <w:r>
        <w:t>Kritérium filtrace dat: pronájem nádob = ano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71"/>
        <w:gridCol w:w="1533"/>
        <w:gridCol w:w="1250"/>
        <w:gridCol w:w="1250"/>
        <w:gridCol w:w="1250"/>
        <w:gridCol w:w="682"/>
      </w:tblGrid>
      <w:tr w:rsidR="00427F4B" w:rsidRPr="00B65DD3" w:rsidTr="00427F4B">
        <w:trPr>
          <w:trHeight w:val="1457"/>
        </w:trPr>
        <w:tc>
          <w:tcPr>
            <w:tcW w:w="0" w:type="auto"/>
            <w:vAlign w:val="center"/>
          </w:tcPr>
          <w:p w:rsidR="00427F4B" w:rsidRPr="00BB6D21" w:rsidRDefault="00427F4B" w:rsidP="00427F4B">
            <w:pPr>
              <w:keepNext/>
            </w:pPr>
            <w:r>
              <w:t>Druh odpadu</w:t>
            </w:r>
          </w:p>
        </w:tc>
        <w:tc>
          <w:tcPr>
            <w:tcW w:w="0" w:type="auto"/>
            <w:vAlign w:val="center"/>
          </w:tcPr>
          <w:p w:rsidR="00427F4B" w:rsidRPr="00BB6D21" w:rsidRDefault="00427F4B" w:rsidP="00427F4B">
            <w:pPr>
              <w:keepNext/>
            </w:pPr>
            <w:r>
              <w:t>Velikost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tabs>
                <w:tab w:val="decimal" w:pos="767"/>
              </w:tabs>
              <w:ind w:left="113" w:right="113"/>
            </w:pPr>
            <w:r w:rsidRPr="00BB6D21">
              <w:t>Minim</w:t>
            </w:r>
            <w:r>
              <w:t>ální</w:t>
            </w:r>
            <w:r w:rsidRPr="00BB6D21">
              <w:t xml:space="preserve"> cena za 1 svoz 1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 w:rsidRPr="00BB6D21">
              <w:t>Maxim</w:t>
            </w:r>
            <w:r>
              <w:t>ální cena za 1 svoz 1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 w:rsidRPr="00BB6D21">
              <w:t>Průměr</w:t>
            </w:r>
            <w:r>
              <w:t>ná cena za 1 svoz 1 nádoby</w:t>
            </w:r>
          </w:p>
        </w:tc>
        <w:tc>
          <w:tcPr>
            <w:tcW w:w="682" w:type="dxa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>
              <w:t>Velikost vzorku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BRKO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25,88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38,33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31,35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7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240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13,79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48,39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33,69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8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100,00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500,00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300,00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Align w:val="center"/>
          </w:tcPr>
          <w:p w:rsidR="00427F4B" w:rsidRPr="00B65DD3" w:rsidRDefault="00427F4B" w:rsidP="00427F4B">
            <w:r w:rsidRPr="00B65DD3">
              <w:t>Nebezpečný odpad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3 300,00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7 000,00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5 280,00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5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Směsný komunální odpad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32,31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41,15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35,83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3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143,08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241,15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201,72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5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240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46,92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61,54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54,23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Align w:val="center"/>
          </w:tcPr>
          <w:p w:rsidR="00427F4B" w:rsidRPr="00B65DD3" w:rsidRDefault="00427F4B" w:rsidP="00427F4B">
            <w:r w:rsidRPr="00B65DD3">
              <w:t>Tříděný odpad - papír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189,10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119,68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6</w:t>
            </w:r>
          </w:p>
        </w:tc>
      </w:tr>
      <w:tr w:rsidR="00427F4B" w:rsidRPr="00B65DD3" w:rsidTr="00427F4B">
        <w:tc>
          <w:tcPr>
            <w:tcW w:w="0" w:type="auto"/>
            <w:vAlign w:val="center"/>
          </w:tcPr>
          <w:p w:rsidR="00427F4B" w:rsidRPr="00B65DD3" w:rsidRDefault="00427F4B" w:rsidP="00427F4B">
            <w:r w:rsidRPr="00B65DD3">
              <w:t>Tříděný odpad - plast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2 144,80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408,96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7</w:t>
            </w:r>
          </w:p>
        </w:tc>
      </w:tr>
      <w:tr w:rsidR="00427F4B" w:rsidRPr="00B65DD3" w:rsidTr="00427F4B">
        <w:tc>
          <w:tcPr>
            <w:tcW w:w="0" w:type="auto"/>
            <w:vAlign w:val="center"/>
          </w:tcPr>
          <w:p w:rsidR="00427F4B" w:rsidRPr="00B65DD3" w:rsidRDefault="00427F4B" w:rsidP="00427F4B">
            <w:r w:rsidRPr="00B65DD3">
              <w:t>Tříděný odpad - sklo barevné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145,00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296,67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220,83 Kč </w:t>
            </w:r>
          </w:p>
        </w:tc>
        <w:tc>
          <w:tcPr>
            <w:tcW w:w="682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6C2B24" w:rsidRPr="00B65DD3" w:rsidTr="00427F4B">
        <w:tc>
          <w:tcPr>
            <w:tcW w:w="0" w:type="auto"/>
            <w:vAlign w:val="center"/>
          </w:tcPr>
          <w:p w:rsidR="006C2B24" w:rsidRPr="00B65DD3" w:rsidRDefault="006C2B24" w:rsidP="00427F4B">
            <w:r w:rsidRPr="00B65DD3">
              <w:t>Tříděný odpad - sklo směs</w:t>
            </w:r>
          </w:p>
        </w:tc>
        <w:tc>
          <w:tcPr>
            <w:tcW w:w="0" w:type="auto"/>
          </w:tcPr>
          <w:p w:rsidR="006C2B24" w:rsidRPr="00B65DD3" w:rsidRDefault="006C2B24" w:rsidP="00427F4B">
            <w:r w:rsidRPr="00B65DD3">
              <w:t>1100 l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tabs>
                <w:tab w:val="decimal" w:pos="221"/>
              </w:tabs>
              <w:jc w:val="right"/>
            </w:pPr>
            <w:r w:rsidRPr="00B65DD3">
              <w:t xml:space="preserve"> 74,89 Kč 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jc w:val="right"/>
            </w:pPr>
            <w:r w:rsidRPr="00B65DD3">
              <w:t xml:space="preserve"> 150,00 Kč 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jc w:val="right"/>
            </w:pPr>
            <w:r w:rsidRPr="00B65DD3">
              <w:t xml:space="preserve"> 128,72 Kč </w:t>
            </w:r>
          </w:p>
        </w:tc>
        <w:tc>
          <w:tcPr>
            <w:tcW w:w="682" w:type="dxa"/>
          </w:tcPr>
          <w:p w:rsidR="006C2B24" w:rsidRPr="00B65DD3" w:rsidRDefault="006C2B24" w:rsidP="00427F4B">
            <w:pPr>
              <w:jc w:val="center"/>
            </w:pPr>
            <w:r w:rsidRPr="00B65DD3">
              <w:t>4</w:t>
            </w:r>
          </w:p>
        </w:tc>
      </w:tr>
      <w:tr w:rsidR="006C2B24" w:rsidRPr="00B65DD3" w:rsidTr="00427F4B">
        <w:tc>
          <w:tcPr>
            <w:tcW w:w="0" w:type="auto"/>
          </w:tcPr>
          <w:p w:rsidR="006C2B24" w:rsidRPr="00B65DD3" w:rsidRDefault="006C2B24" w:rsidP="00427F4B">
            <w:r w:rsidRPr="00B65DD3">
              <w:t>Velkoobjemový odpad</w:t>
            </w:r>
          </w:p>
        </w:tc>
        <w:tc>
          <w:tcPr>
            <w:tcW w:w="0" w:type="auto"/>
          </w:tcPr>
          <w:p w:rsidR="006C2B24" w:rsidRPr="00B65DD3" w:rsidRDefault="006C2B24" w:rsidP="00427F4B">
            <w:r w:rsidRPr="00B65DD3">
              <w:t>kontejner 9</w:t>
            </w:r>
            <w:r w:rsidRPr="006658BA">
              <w:rPr>
                <w:vertAlign w:val="superscript"/>
              </w:rPr>
              <w:t xml:space="preserve"> </w:t>
            </w:r>
            <w:r w:rsidRPr="006658BA"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3 500,00 Kč 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jc w:val="right"/>
            </w:pPr>
            <w:r w:rsidRPr="00B65DD3">
              <w:t xml:space="preserve"> 3 600,00 Kč </w:t>
            </w:r>
          </w:p>
        </w:tc>
        <w:tc>
          <w:tcPr>
            <w:tcW w:w="0" w:type="auto"/>
          </w:tcPr>
          <w:p w:rsidR="006C2B24" w:rsidRPr="00B65DD3" w:rsidRDefault="006C2B24" w:rsidP="00427F4B">
            <w:pPr>
              <w:jc w:val="right"/>
            </w:pPr>
            <w:r w:rsidRPr="00B65DD3">
              <w:t xml:space="preserve"> 3 550,00 Kč </w:t>
            </w:r>
          </w:p>
        </w:tc>
        <w:tc>
          <w:tcPr>
            <w:tcW w:w="682" w:type="dxa"/>
          </w:tcPr>
          <w:p w:rsidR="006C2B24" w:rsidRPr="00B65DD3" w:rsidRDefault="006C2B24" w:rsidP="00427F4B">
            <w:pPr>
              <w:jc w:val="center"/>
            </w:pPr>
            <w:r w:rsidRPr="00B65DD3">
              <w:t>2</w:t>
            </w:r>
          </w:p>
        </w:tc>
      </w:tr>
    </w:tbl>
    <w:p w:rsidR="009E1D46" w:rsidRDefault="009E1D46" w:rsidP="00B92EDA">
      <w:pPr>
        <w:tabs>
          <w:tab w:val="decimal" w:pos="7371"/>
        </w:tabs>
      </w:pPr>
    </w:p>
    <w:p w:rsidR="006E0055" w:rsidRDefault="006E0055">
      <w:pPr>
        <w:rPr>
          <w:caps/>
          <w:spacing w:val="15"/>
        </w:rPr>
      </w:pPr>
      <w:r>
        <w:br w:type="page"/>
      </w:r>
    </w:p>
    <w:p w:rsidR="00B65DD3" w:rsidRDefault="00B65DD3" w:rsidP="00B65DD3">
      <w:pPr>
        <w:pStyle w:val="Nadpis2"/>
      </w:pPr>
      <w:r>
        <w:lastRenderedPageBreak/>
        <w:t>Přehled cen 1 svozu 1 konkrétní nádoby daného druhu odpadu ve vlastních nádobách bez ohledu na to, o jakou frekvenci svozu se jedná</w:t>
      </w:r>
    </w:p>
    <w:p w:rsidR="00DE047E" w:rsidRPr="00DE047E" w:rsidRDefault="00DE047E" w:rsidP="00DE047E">
      <w:r>
        <w:t>Kritérium filtrace dat: pronájem nádob = 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8"/>
        <w:gridCol w:w="1725"/>
        <w:gridCol w:w="1250"/>
        <w:gridCol w:w="1250"/>
        <w:gridCol w:w="1250"/>
        <w:gridCol w:w="703"/>
      </w:tblGrid>
      <w:tr w:rsidR="00427F4B" w:rsidRPr="00B65DD3" w:rsidTr="00427F4B">
        <w:trPr>
          <w:trHeight w:val="1440"/>
        </w:trPr>
        <w:tc>
          <w:tcPr>
            <w:tcW w:w="0" w:type="auto"/>
            <w:vAlign w:val="center"/>
          </w:tcPr>
          <w:p w:rsidR="00427F4B" w:rsidRPr="00BB6D21" w:rsidRDefault="00427F4B" w:rsidP="00427F4B">
            <w:pPr>
              <w:keepNext/>
            </w:pPr>
            <w:r>
              <w:t>Druh odpadu</w:t>
            </w:r>
          </w:p>
        </w:tc>
        <w:tc>
          <w:tcPr>
            <w:tcW w:w="0" w:type="auto"/>
            <w:vAlign w:val="center"/>
          </w:tcPr>
          <w:p w:rsidR="00427F4B" w:rsidRPr="00BB6D21" w:rsidRDefault="00427F4B" w:rsidP="00427F4B">
            <w:pPr>
              <w:keepNext/>
            </w:pPr>
            <w:r>
              <w:t>Velikost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tabs>
                <w:tab w:val="decimal" w:pos="767"/>
              </w:tabs>
              <w:ind w:left="113" w:right="113"/>
            </w:pPr>
            <w:r w:rsidRPr="00BB6D21">
              <w:t>Minim</w:t>
            </w:r>
            <w:r>
              <w:t>ální</w:t>
            </w:r>
            <w:r w:rsidRPr="00BB6D21">
              <w:t xml:space="preserve"> cena za 1 svoz 1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 w:rsidRPr="00BB6D21">
              <w:t>Maxim</w:t>
            </w:r>
            <w:r>
              <w:t>ální cena za 1 svoz 1 nádoby</w:t>
            </w:r>
          </w:p>
        </w:tc>
        <w:tc>
          <w:tcPr>
            <w:tcW w:w="0" w:type="auto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 w:rsidRPr="00BB6D21">
              <w:t>Průměr</w:t>
            </w:r>
            <w:r>
              <w:t>ná cena za 1 svoz 1 nádoby</w:t>
            </w:r>
          </w:p>
        </w:tc>
        <w:tc>
          <w:tcPr>
            <w:tcW w:w="703" w:type="dxa"/>
            <w:textDirection w:val="btLr"/>
          </w:tcPr>
          <w:p w:rsidR="00427F4B" w:rsidRPr="00BB6D21" w:rsidRDefault="00427F4B" w:rsidP="00427F4B">
            <w:pPr>
              <w:keepNext/>
              <w:ind w:left="113" w:right="113"/>
            </w:pPr>
            <w:r>
              <w:t>Velikost vzorku</w:t>
            </w:r>
          </w:p>
        </w:tc>
      </w:tr>
      <w:tr w:rsidR="00DE047E" w:rsidRPr="00B65DD3" w:rsidTr="00427F4B">
        <w:tc>
          <w:tcPr>
            <w:tcW w:w="0" w:type="auto"/>
            <w:vAlign w:val="center"/>
          </w:tcPr>
          <w:p w:rsidR="00DE047E" w:rsidRPr="00B65DD3" w:rsidRDefault="00DE047E" w:rsidP="00427F4B">
            <w:r w:rsidRPr="00B65DD3">
              <w:t>BRKO</w:t>
            </w:r>
          </w:p>
        </w:tc>
        <w:tc>
          <w:tcPr>
            <w:tcW w:w="0" w:type="auto"/>
          </w:tcPr>
          <w:p w:rsidR="00DE047E" w:rsidRPr="00B65DD3" w:rsidRDefault="00DE047E" w:rsidP="00427F4B">
            <w:r w:rsidRPr="00B65DD3">
              <w:t>kontejner 9</w:t>
            </w:r>
            <w:r w:rsidRPr="006658BA">
              <w:rPr>
                <w:vertAlign w:val="superscript"/>
              </w:rPr>
              <w:t xml:space="preserve"> </w:t>
            </w:r>
            <w:r w:rsidRPr="006658BA"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300,00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300,00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300,00 Kč </w:t>
            </w:r>
          </w:p>
        </w:tc>
        <w:tc>
          <w:tcPr>
            <w:tcW w:w="703" w:type="dxa"/>
          </w:tcPr>
          <w:p w:rsidR="00DE047E" w:rsidRPr="00B65DD3" w:rsidRDefault="00DE047E" w:rsidP="00427F4B">
            <w:pPr>
              <w:jc w:val="center"/>
            </w:pPr>
            <w:r w:rsidRPr="00B65DD3">
              <w:t>1</w:t>
            </w:r>
          </w:p>
        </w:tc>
      </w:tr>
      <w:tr w:rsidR="00DE047E" w:rsidRPr="00B65DD3" w:rsidTr="00427F4B">
        <w:tc>
          <w:tcPr>
            <w:tcW w:w="0" w:type="auto"/>
            <w:vMerge w:val="restart"/>
            <w:vAlign w:val="center"/>
          </w:tcPr>
          <w:p w:rsidR="00DE047E" w:rsidRPr="00B65DD3" w:rsidRDefault="00DE047E" w:rsidP="00427F4B">
            <w:r w:rsidRPr="00B65DD3">
              <w:t>Nebezpečný odpad</w:t>
            </w:r>
          </w:p>
        </w:tc>
        <w:tc>
          <w:tcPr>
            <w:tcW w:w="0" w:type="auto"/>
          </w:tcPr>
          <w:p w:rsidR="00DE047E" w:rsidRPr="00B65DD3" w:rsidRDefault="00DE047E" w:rsidP="00427F4B">
            <w:r w:rsidRPr="00B65DD3">
              <w:t>kontejner 6</w:t>
            </w:r>
            <w:r w:rsidRPr="006658BA">
              <w:rPr>
                <w:vertAlign w:val="superscript"/>
              </w:rPr>
              <w:t xml:space="preserve"> </w:t>
            </w:r>
            <w:r w:rsidRPr="006658BA"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3 639,00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3 639,00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3 639,00 Kč </w:t>
            </w:r>
          </w:p>
        </w:tc>
        <w:tc>
          <w:tcPr>
            <w:tcW w:w="703" w:type="dxa"/>
          </w:tcPr>
          <w:p w:rsidR="00DE047E" w:rsidRPr="00B65DD3" w:rsidRDefault="00DE047E" w:rsidP="00427F4B">
            <w:pPr>
              <w:jc w:val="center"/>
            </w:pPr>
            <w:r w:rsidRPr="00B65DD3">
              <w:t>1</w:t>
            </w:r>
          </w:p>
        </w:tc>
      </w:tr>
      <w:tr w:rsidR="00DE047E" w:rsidRPr="00B65DD3" w:rsidTr="00427F4B">
        <w:tc>
          <w:tcPr>
            <w:tcW w:w="0" w:type="auto"/>
            <w:vMerge/>
            <w:vAlign w:val="center"/>
          </w:tcPr>
          <w:p w:rsidR="00DE047E" w:rsidRPr="00B65DD3" w:rsidRDefault="00DE047E" w:rsidP="00427F4B"/>
        </w:tc>
        <w:tc>
          <w:tcPr>
            <w:tcW w:w="0" w:type="auto"/>
          </w:tcPr>
          <w:p w:rsidR="00DE047E" w:rsidRPr="00B65DD3" w:rsidRDefault="00DE047E" w:rsidP="00427F4B">
            <w:r w:rsidRPr="00B65DD3">
              <w:t>kontejner 9</w:t>
            </w:r>
            <w:r w:rsidRPr="006658BA">
              <w:rPr>
                <w:vertAlign w:val="superscript"/>
              </w:rPr>
              <w:t xml:space="preserve"> </w:t>
            </w:r>
            <w:r w:rsidRPr="006658BA"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2 609,00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6 086,00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4 347,50 Kč </w:t>
            </w:r>
          </w:p>
        </w:tc>
        <w:tc>
          <w:tcPr>
            <w:tcW w:w="703" w:type="dxa"/>
          </w:tcPr>
          <w:p w:rsidR="00DE047E" w:rsidRPr="00B65DD3" w:rsidRDefault="00DE047E" w:rsidP="00427F4B">
            <w:pPr>
              <w:jc w:val="center"/>
            </w:pPr>
            <w:r w:rsidRPr="00B65DD3">
              <w:t>2</w:t>
            </w:r>
          </w:p>
        </w:tc>
      </w:tr>
      <w:tr w:rsidR="00DE047E" w:rsidRPr="00B65DD3" w:rsidTr="00427F4B">
        <w:tc>
          <w:tcPr>
            <w:tcW w:w="0" w:type="auto"/>
            <w:vMerge/>
            <w:vAlign w:val="center"/>
          </w:tcPr>
          <w:p w:rsidR="00DE047E" w:rsidRPr="00B65DD3" w:rsidRDefault="00DE047E" w:rsidP="00427F4B"/>
        </w:tc>
        <w:tc>
          <w:tcPr>
            <w:tcW w:w="0" w:type="auto"/>
          </w:tcPr>
          <w:p w:rsidR="00DE047E" w:rsidRPr="00B65DD3" w:rsidRDefault="00DE047E" w:rsidP="00427F4B">
            <w:r w:rsidRPr="00B65DD3">
              <w:t>kontejnery 10,5</w:t>
            </w:r>
            <w:r w:rsidRPr="006658BA">
              <w:rPr>
                <w:vertAlign w:val="superscript"/>
              </w:rPr>
              <w:t xml:space="preserve"> </w:t>
            </w:r>
            <w:r w:rsidRPr="006658BA"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2 400,00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2 400,00 Kč </w:t>
            </w:r>
          </w:p>
        </w:tc>
        <w:tc>
          <w:tcPr>
            <w:tcW w:w="0" w:type="auto"/>
          </w:tcPr>
          <w:p w:rsidR="00DE047E" w:rsidRPr="00B65DD3" w:rsidRDefault="00DE047E" w:rsidP="00427F4B">
            <w:pPr>
              <w:jc w:val="right"/>
            </w:pPr>
            <w:r w:rsidRPr="00B65DD3">
              <w:t xml:space="preserve"> 2 400,00 Kč </w:t>
            </w:r>
          </w:p>
        </w:tc>
        <w:tc>
          <w:tcPr>
            <w:tcW w:w="703" w:type="dxa"/>
          </w:tcPr>
          <w:p w:rsidR="00DE047E" w:rsidRPr="00B65DD3" w:rsidRDefault="00DE047E" w:rsidP="00427F4B">
            <w:pPr>
              <w:jc w:val="center"/>
            </w:pPr>
            <w:r w:rsidRPr="00B65DD3">
              <w:t>1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Směsný komunální odpad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8,29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65,42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39,85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24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225,97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271,15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249,04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3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240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13,50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123,25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54,14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15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80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22,02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22,04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22,03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2 337,00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3 000,00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2 668,50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pytel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6,50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52,00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34,17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3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Tříděný odpad - papír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255,00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161,05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5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pytel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22,00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22,00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22,00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Tříděný odpad - plast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190,00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140,31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4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pytel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20,00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20,00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Merge w:val="restart"/>
            <w:vAlign w:val="center"/>
          </w:tcPr>
          <w:p w:rsidR="00427F4B" w:rsidRPr="00B65DD3" w:rsidRDefault="00427F4B" w:rsidP="00427F4B">
            <w:r w:rsidRPr="00B65DD3">
              <w:t>Tříděný odpad - sklo směs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36,25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507,00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231,08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3</w:t>
            </w:r>
          </w:p>
        </w:tc>
      </w:tr>
      <w:tr w:rsidR="00427F4B" w:rsidRPr="00B65DD3" w:rsidTr="00427F4B">
        <w:tc>
          <w:tcPr>
            <w:tcW w:w="0" w:type="auto"/>
            <w:vMerge/>
            <w:vAlign w:val="center"/>
          </w:tcPr>
          <w:p w:rsidR="00427F4B" w:rsidRPr="00B65DD3" w:rsidRDefault="00427F4B" w:rsidP="00427F4B"/>
        </w:tc>
        <w:tc>
          <w:tcPr>
            <w:tcW w:w="0" w:type="auto"/>
          </w:tcPr>
          <w:p w:rsidR="00427F4B" w:rsidRPr="00B65DD3" w:rsidRDefault="00427F4B" w:rsidP="00427F4B">
            <w:r w:rsidRPr="00B65DD3">
              <w:t>pytel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25,00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25,00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25,00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2</w:t>
            </w:r>
          </w:p>
        </w:tc>
      </w:tr>
      <w:tr w:rsidR="00427F4B" w:rsidRPr="00B65DD3" w:rsidTr="00427F4B">
        <w:tc>
          <w:tcPr>
            <w:tcW w:w="0" w:type="auto"/>
            <w:vAlign w:val="center"/>
          </w:tcPr>
          <w:p w:rsidR="00427F4B" w:rsidRPr="00B65DD3" w:rsidRDefault="00427F4B" w:rsidP="00427F4B">
            <w:r w:rsidRPr="00B65DD3">
              <w:t>Tříděný odpad - tetrapak</w:t>
            </w:r>
          </w:p>
        </w:tc>
        <w:tc>
          <w:tcPr>
            <w:tcW w:w="0" w:type="auto"/>
          </w:tcPr>
          <w:p w:rsidR="00427F4B" w:rsidRPr="00B65DD3" w:rsidRDefault="00427F4B" w:rsidP="00427F4B">
            <w:r w:rsidRPr="00B65DD3">
              <w:t>1100 l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tabs>
                <w:tab w:val="decimal" w:pos="221"/>
              </w:tabs>
              <w:jc w:val="right"/>
            </w:pPr>
            <w:r w:rsidRPr="00B65DD3">
              <w:t xml:space="preserve"> 213,42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213,42 Kč </w:t>
            </w:r>
          </w:p>
        </w:tc>
        <w:tc>
          <w:tcPr>
            <w:tcW w:w="0" w:type="auto"/>
          </w:tcPr>
          <w:p w:rsidR="00427F4B" w:rsidRPr="00B65DD3" w:rsidRDefault="00427F4B" w:rsidP="00427F4B">
            <w:pPr>
              <w:jc w:val="right"/>
            </w:pPr>
            <w:r w:rsidRPr="00B65DD3">
              <w:t xml:space="preserve"> 213,42 Kč </w:t>
            </w:r>
          </w:p>
        </w:tc>
        <w:tc>
          <w:tcPr>
            <w:tcW w:w="703" w:type="dxa"/>
          </w:tcPr>
          <w:p w:rsidR="00427F4B" w:rsidRPr="00B65DD3" w:rsidRDefault="00427F4B" w:rsidP="00427F4B">
            <w:pPr>
              <w:jc w:val="center"/>
            </w:pPr>
            <w:r w:rsidRPr="00B65DD3">
              <w:t>1</w:t>
            </w:r>
          </w:p>
        </w:tc>
      </w:tr>
    </w:tbl>
    <w:p w:rsidR="00BB6D21" w:rsidRDefault="00BB6D21" w:rsidP="00B92EDA">
      <w:pPr>
        <w:tabs>
          <w:tab w:val="decimal" w:pos="7371"/>
        </w:tabs>
      </w:pPr>
    </w:p>
    <w:p w:rsidR="006E0055" w:rsidRDefault="006E0055">
      <w:pPr>
        <w:rPr>
          <w:caps/>
          <w:spacing w:val="15"/>
        </w:rPr>
      </w:pPr>
      <w:r>
        <w:br w:type="page"/>
      </w:r>
    </w:p>
    <w:p w:rsidR="00B65DD3" w:rsidRDefault="00B65DD3" w:rsidP="00B65DD3">
      <w:pPr>
        <w:pStyle w:val="Nadpis2"/>
      </w:pPr>
      <w:r>
        <w:lastRenderedPageBreak/>
        <w:t>Přehled cen 1 svozu 1 konkrétní nádoby daného druhu odpadu ve vlastních nádobách</w:t>
      </w:r>
    </w:p>
    <w:p w:rsidR="00DE047E" w:rsidRPr="00DE047E" w:rsidRDefault="00DE047E" w:rsidP="00DE047E">
      <w:r>
        <w:t>Kritérium filtrace dat: pronájem nádob = 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1589"/>
        <w:gridCol w:w="1542"/>
        <w:gridCol w:w="1176"/>
        <w:gridCol w:w="1176"/>
        <w:gridCol w:w="1176"/>
        <w:gridCol w:w="693"/>
      </w:tblGrid>
      <w:tr w:rsidR="008E386D" w:rsidRPr="008E386D" w:rsidTr="008E386D">
        <w:trPr>
          <w:trHeight w:val="1270"/>
        </w:trPr>
        <w:tc>
          <w:tcPr>
            <w:tcW w:w="0" w:type="auto"/>
            <w:vAlign w:val="center"/>
          </w:tcPr>
          <w:p w:rsidR="008E386D" w:rsidRPr="006E0055" w:rsidRDefault="008E386D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Druh odpadu</w:t>
            </w:r>
          </w:p>
        </w:tc>
        <w:tc>
          <w:tcPr>
            <w:tcW w:w="0" w:type="auto"/>
            <w:vAlign w:val="center"/>
          </w:tcPr>
          <w:p w:rsidR="008E386D" w:rsidRPr="006E0055" w:rsidRDefault="008E386D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Velikost nádoby</w:t>
            </w:r>
          </w:p>
        </w:tc>
        <w:tc>
          <w:tcPr>
            <w:tcW w:w="0" w:type="auto"/>
            <w:vAlign w:val="center"/>
          </w:tcPr>
          <w:p w:rsidR="008E386D" w:rsidRPr="006E0055" w:rsidRDefault="008E386D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Frekvence svozu</w:t>
            </w:r>
          </w:p>
        </w:tc>
        <w:tc>
          <w:tcPr>
            <w:tcW w:w="0" w:type="auto"/>
            <w:textDirection w:val="btLr"/>
          </w:tcPr>
          <w:p w:rsidR="008E386D" w:rsidRPr="006E0055" w:rsidRDefault="008E386D" w:rsidP="006E0055">
            <w:pPr>
              <w:keepNext/>
              <w:tabs>
                <w:tab w:val="decimal" w:pos="767"/>
              </w:tabs>
              <w:spacing w:before="0"/>
              <w:ind w:left="113" w:right="113"/>
              <w:rPr>
                <w:rFonts w:cs="Times New Roman"/>
              </w:rPr>
            </w:pPr>
            <w:r w:rsidRPr="006E0055">
              <w:rPr>
                <w:rFonts w:cs="Times New Roman"/>
              </w:rPr>
              <w:t>Minimální cena za 1 svoz 1 nádoby</w:t>
            </w:r>
          </w:p>
        </w:tc>
        <w:tc>
          <w:tcPr>
            <w:tcW w:w="0" w:type="auto"/>
            <w:textDirection w:val="btLr"/>
          </w:tcPr>
          <w:p w:rsidR="008E386D" w:rsidRPr="006E0055" w:rsidRDefault="008E386D" w:rsidP="006E0055">
            <w:pPr>
              <w:keepNext/>
              <w:spacing w:before="0"/>
              <w:ind w:left="113" w:right="113"/>
              <w:rPr>
                <w:rFonts w:cs="Times New Roman"/>
              </w:rPr>
            </w:pPr>
            <w:r w:rsidRPr="006E0055">
              <w:rPr>
                <w:rFonts w:cs="Times New Roman"/>
              </w:rPr>
              <w:t>Maximální cena za 1 svoz 1 nádoby</w:t>
            </w:r>
          </w:p>
        </w:tc>
        <w:tc>
          <w:tcPr>
            <w:tcW w:w="0" w:type="auto"/>
            <w:textDirection w:val="btLr"/>
          </w:tcPr>
          <w:p w:rsidR="008E386D" w:rsidRPr="006E0055" w:rsidRDefault="008E386D" w:rsidP="006E0055">
            <w:pPr>
              <w:keepNext/>
              <w:spacing w:before="0"/>
              <w:ind w:left="113" w:right="113"/>
              <w:rPr>
                <w:rFonts w:cs="Times New Roman"/>
              </w:rPr>
            </w:pPr>
            <w:r w:rsidRPr="006E0055">
              <w:rPr>
                <w:rFonts w:cs="Times New Roman"/>
              </w:rPr>
              <w:t>Průměrná cena za 1 svoz 1 nádoby</w:t>
            </w:r>
          </w:p>
        </w:tc>
        <w:tc>
          <w:tcPr>
            <w:tcW w:w="693" w:type="dxa"/>
            <w:textDirection w:val="btLr"/>
          </w:tcPr>
          <w:p w:rsidR="008E386D" w:rsidRPr="006E0055" w:rsidRDefault="008E386D" w:rsidP="006E0055">
            <w:pPr>
              <w:keepNext/>
              <w:spacing w:before="0"/>
              <w:ind w:left="113" w:right="113"/>
              <w:rPr>
                <w:rFonts w:cs="Times New Roman"/>
              </w:rPr>
            </w:pPr>
            <w:r w:rsidRPr="006E0055">
              <w:rPr>
                <w:rFonts w:cs="Times New Roman"/>
              </w:rPr>
              <w:t>Velikost vzorku</w:t>
            </w:r>
          </w:p>
        </w:tc>
      </w:tr>
      <w:tr w:rsidR="006E0055" w:rsidRPr="008E386D" w:rsidTr="008E386D"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BRKO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kontejner 9</w:t>
            </w:r>
            <w:r w:rsidR="006658BA" w:rsidRPr="006658BA">
              <w:rPr>
                <w:rFonts w:cs="Times New Roman"/>
                <w:vertAlign w:val="superscript"/>
              </w:rPr>
              <w:t xml:space="preserve"> </w:t>
            </w:r>
            <w:r w:rsidR="006658BA" w:rsidRPr="006658BA">
              <w:rPr>
                <w:rFonts w:cs="Times New Roman"/>
              </w:rPr>
              <w:t>m</w:t>
            </w:r>
            <w:r w:rsidR="006658B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300,00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300,00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300,00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Nebezpečný odpad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kontejner 6</w:t>
            </w:r>
            <w:r w:rsidR="006658BA" w:rsidRPr="006658BA">
              <w:rPr>
                <w:rFonts w:cs="Times New Roman"/>
                <w:vertAlign w:val="superscript"/>
              </w:rPr>
              <w:t xml:space="preserve"> </w:t>
            </w:r>
            <w:r w:rsidR="006658BA" w:rsidRPr="006658BA">
              <w:rPr>
                <w:rFonts w:cs="Times New Roman"/>
              </w:rPr>
              <w:t>m</w:t>
            </w:r>
            <w:r w:rsidR="006658B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3 639,00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3 639,00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3 639,00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kontejner 9</w:t>
            </w:r>
            <w:r w:rsidR="006658BA" w:rsidRPr="006658BA">
              <w:rPr>
                <w:rFonts w:cs="Times New Roman"/>
                <w:vertAlign w:val="superscript"/>
              </w:rPr>
              <w:t xml:space="preserve"> </w:t>
            </w:r>
            <w:r w:rsidR="006658BA" w:rsidRPr="006658BA">
              <w:rPr>
                <w:rFonts w:cs="Times New Roman"/>
              </w:rPr>
              <w:t>m</w:t>
            </w:r>
            <w:r w:rsidR="006658B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2 609,00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6 086,00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4 347,50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kontejner 10,5</w:t>
            </w:r>
            <w:r w:rsidR="006658BA" w:rsidRPr="006658BA">
              <w:rPr>
                <w:rFonts w:cs="Times New Roman"/>
                <w:vertAlign w:val="superscript"/>
              </w:rPr>
              <w:t xml:space="preserve"> </w:t>
            </w:r>
            <w:r w:rsidR="006658BA" w:rsidRPr="006658BA">
              <w:rPr>
                <w:rFonts w:cs="Times New Roman"/>
              </w:rPr>
              <w:t>m</w:t>
            </w:r>
            <w:r w:rsidR="006658B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2 400,00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2 400,00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2 400,00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Směsný komunální odpad</w:t>
            </w: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13,00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65,42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49,26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5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15x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44,60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44,60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44,60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26x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10,83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57,21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41,46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7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42x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36,13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37,14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36,66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4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8,29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42,01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31,44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6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26x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271,15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271,15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271,15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225,97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225,97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225,97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250,00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240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123,25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123,25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123,25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26x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14,90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59,62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50,61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6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42x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51,21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51,21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51,21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13,50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56,88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46,49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6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55,00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80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26x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22,04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22,04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22,04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22,02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kontejner 9</w:t>
            </w:r>
            <w:r w:rsidR="006658BA" w:rsidRPr="006658BA">
              <w:rPr>
                <w:rFonts w:cs="Times New Roman"/>
                <w:vertAlign w:val="superscript"/>
              </w:rPr>
              <w:t xml:space="preserve"> </w:t>
            </w:r>
            <w:r w:rsidR="006658BA" w:rsidRPr="006658BA">
              <w:rPr>
                <w:rFonts w:cs="Times New Roman"/>
              </w:rPr>
              <w:t>m</w:t>
            </w:r>
            <w:r w:rsidR="006658B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2 337,00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3 000,00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2 668,50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pytel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6,50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52,00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34,17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3</w:t>
            </w:r>
          </w:p>
        </w:tc>
      </w:tr>
      <w:tr w:rsidR="003045E4" w:rsidRPr="008E386D" w:rsidTr="008E386D"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Tříděný odpad - papír</w:t>
            </w: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36,25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179,00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107,63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255,00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196,67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3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pytel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22,00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Tříděný odpad - plast</w:t>
            </w: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52x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36,25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190,00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113,13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185,00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167,50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pytel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Tříděný odpad - sklo směs</w:t>
            </w:r>
          </w:p>
        </w:tc>
        <w:tc>
          <w:tcPr>
            <w:tcW w:w="0" w:type="auto"/>
            <w:vMerge w:val="restart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36,25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507,00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271,63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150,00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150,00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  <w:tr w:rsidR="003045E4" w:rsidRPr="008E386D" w:rsidTr="008E386D">
        <w:tc>
          <w:tcPr>
            <w:tcW w:w="0" w:type="auto"/>
            <w:vMerge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pytel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mimořádně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25,00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25,00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2</w:t>
            </w:r>
          </w:p>
        </w:tc>
      </w:tr>
      <w:tr w:rsidR="006E0055" w:rsidRPr="008E386D" w:rsidTr="008E386D"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Tříděný odpad - tetrapak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1100 l</w:t>
            </w:r>
          </w:p>
        </w:tc>
        <w:tc>
          <w:tcPr>
            <w:tcW w:w="0" w:type="auto"/>
            <w:vAlign w:val="center"/>
          </w:tcPr>
          <w:p w:rsidR="003045E4" w:rsidRPr="006E0055" w:rsidRDefault="003045E4" w:rsidP="006E0055">
            <w:pPr>
              <w:keepNext/>
              <w:spacing w:before="0"/>
              <w:rPr>
                <w:rFonts w:cs="Times New Roman"/>
              </w:rPr>
            </w:pPr>
            <w:r w:rsidRPr="006E0055">
              <w:rPr>
                <w:rFonts w:cs="Times New Roman"/>
              </w:rPr>
              <w:t>12x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213,42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213,42 Kč </w:t>
            </w:r>
          </w:p>
        </w:tc>
        <w:tc>
          <w:tcPr>
            <w:tcW w:w="0" w:type="auto"/>
          </w:tcPr>
          <w:p w:rsidR="003045E4" w:rsidRPr="006E0055" w:rsidRDefault="003045E4" w:rsidP="006E0055">
            <w:pPr>
              <w:keepNext/>
              <w:spacing w:before="0"/>
              <w:jc w:val="right"/>
              <w:rPr>
                <w:rFonts w:cs="Times New Roman"/>
              </w:rPr>
            </w:pPr>
            <w:r w:rsidRPr="006E0055">
              <w:rPr>
                <w:rFonts w:cs="Times New Roman"/>
              </w:rPr>
              <w:t xml:space="preserve"> 213,42 Kč </w:t>
            </w:r>
          </w:p>
        </w:tc>
        <w:tc>
          <w:tcPr>
            <w:tcW w:w="693" w:type="dxa"/>
          </w:tcPr>
          <w:p w:rsidR="003045E4" w:rsidRPr="006E0055" w:rsidRDefault="003045E4" w:rsidP="006E0055">
            <w:pPr>
              <w:keepNext/>
              <w:spacing w:before="0"/>
              <w:jc w:val="center"/>
              <w:rPr>
                <w:rFonts w:cs="Times New Roman"/>
              </w:rPr>
            </w:pPr>
            <w:r w:rsidRPr="006E0055">
              <w:rPr>
                <w:rFonts w:cs="Times New Roman"/>
              </w:rPr>
              <w:t>1</w:t>
            </w:r>
          </w:p>
        </w:tc>
      </w:tr>
    </w:tbl>
    <w:p w:rsidR="006E0055" w:rsidRPr="006E0055" w:rsidRDefault="006E0055" w:rsidP="006E0055"/>
    <w:p w:rsidR="006E0055" w:rsidRDefault="006E005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B6D21" w:rsidRDefault="00B65DD3" w:rsidP="00B65DD3">
      <w:pPr>
        <w:pStyle w:val="Nadpis2"/>
      </w:pPr>
      <w:r>
        <w:lastRenderedPageBreak/>
        <w:t>Přehled cen 1 svozu 1 konkrétní nádoby daného druhu odpadu v pronajatých nádobách</w:t>
      </w:r>
    </w:p>
    <w:p w:rsidR="00DE047E" w:rsidRPr="00DE047E" w:rsidRDefault="00DE047E" w:rsidP="00DE047E">
      <w:r>
        <w:t>Kritérium filtrace dat: pronájem nádob = ano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9"/>
        <w:gridCol w:w="1679"/>
        <w:gridCol w:w="1272"/>
        <w:gridCol w:w="1260"/>
        <w:gridCol w:w="1200"/>
        <w:gridCol w:w="1276"/>
        <w:gridCol w:w="702"/>
      </w:tblGrid>
      <w:tr w:rsidR="006E0055" w:rsidRPr="00427F4B" w:rsidTr="004F0DF4">
        <w:trPr>
          <w:trHeight w:val="1303"/>
        </w:trPr>
        <w:tc>
          <w:tcPr>
            <w:tcW w:w="2239" w:type="dxa"/>
            <w:vAlign w:val="center"/>
          </w:tcPr>
          <w:p w:rsidR="008E386D" w:rsidRPr="008E386D" w:rsidRDefault="008E386D" w:rsidP="006E0055">
            <w:pPr>
              <w:keepNext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Druh odpadu</w:t>
            </w:r>
          </w:p>
        </w:tc>
        <w:tc>
          <w:tcPr>
            <w:tcW w:w="1679" w:type="dxa"/>
            <w:vAlign w:val="center"/>
          </w:tcPr>
          <w:p w:rsidR="008E386D" w:rsidRPr="008E386D" w:rsidRDefault="008E386D" w:rsidP="006E0055">
            <w:pPr>
              <w:keepNext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Velikost nádoby</w:t>
            </w:r>
          </w:p>
        </w:tc>
        <w:tc>
          <w:tcPr>
            <w:tcW w:w="1272" w:type="dxa"/>
            <w:vAlign w:val="center"/>
          </w:tcPr>
          <w:p w:rsidR="008E386D" w:rsidRPr="008E386D" w:rsidRDefault="008E386D" w:rsidP="006E0055">
            <w:pPr>
              <w:keepNext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Frekvence svozu</w:t>
            </w:r>
          </w:p>
        </w:tc>
        <w:tc>
          <w:tcPr>
            <w:tcW w:w="1260" w:type="dxa"/>
            <w:textDirection w:val="btLr"/>
          </w:tcPr>
          <w:p w:rsidR="008E386D" w:rsidRPr="008E386D" w:rsidRDefault="008E386D" w:rsidP="004F0DF4">
            <w:pPr>
              <w:keepNext/>
              <w:tabs>
                <w:tab w:val="decimal" w:pos="767"/>
              </w:tabs>
              <w:spacing w:before="0"/>
              <w:ind w:left="113" w:right="113"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Minimální cena za 1 svoz 1 nádoby</w:t>
            </w:r>
          </w:p>
        </w:tc>
        <w:tc>
          <w:tcPr>
            <w:tcW w:w="1200" w:type="dxa"/>
            <w:textDirection w:val="btLr"/>
          </w:tcPr>
          <w:p w:rsidR="008E386D" w:rsidRPr="008E386D" w:rsidRDefault="008E386D" w:rsidP="004F0DF4">
            <w:pPr>
              <w:keepNext/>
              <w:spacing w:before="0"/>
              <w:ind w:left="113" w:right="113"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Maximální cena za 1 svoz 1 nádoby</w:t>
            </w:r>
          </w:p>
        </w:tc>
        <w:tc>
          <w:tcPr>
            <w:tcW w:w="1276" w:type="dxa"/>
            <w:textDirection w:val="btLr"/>
          </w:tcPr>
          <w:p w:rsidR="008E386D" w:rsidRPr="008E386D" w:rsidRDefault="008E386D" w:rsidP="004F0DF4">
            <w:pPr>
              <w:keepNext/>
              <w:spacing w:before="0"/>
              <w:ind w:left="113" w:right="113"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Průměrná cena za 1 svoz 1 nádoby</w:t>
            </w:r>
          </w:p>
        </w:tc>
        <w:tc>
          <w:tcPr>
            <w:tcW w:w="702" w:type="dxa"/>
            <w:textDirection w:val="btLr"/>
          </w:tcPr>
          <w:p w:rsidR="008E386D" w:rsidRPr="008E386D" w:rsidRDefault="008E386D" w:rsidP="004F0DF4">
            <w:pPr>
              <w:keepNext/>
              <w:spacing w:before="0"/>
              <w:ind w:left="113" w:right="113"/>
              <w:rPr>
                <w:sz w:val="22"/>
                <w:szCs w:val="22"/>
              </w:rPr>
            </w:pPr>
            <w:r w:rsidRPr="008E386D">
              <w:rPr>
                <w:sz w:val="22"/>
                <w:szCs w:val="22"/>
              </w:rPr>
              <w:t>Velikost vzorku</w:t>
            </w:r>
          </w:p>
        </w:tc>
      </w:tr>
      <w:tr w:rsidR="008E386D" w:rsidRPr="00427F4B" w:rsidTr="004F0DF4">
        <w:tc>
          <w:tcPr>
            <w:tcW w:w="223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BRKO</w:t>
            </w: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18x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37,39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38,33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37,86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2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25,88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27,69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26,49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3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35x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34,29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34,29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34,29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240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36,00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36,00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36,00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18x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46,67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48,39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47,53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2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16,88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33,54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27,88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3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35x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13,79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13,79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13,79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500,00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500,00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500,00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mimořádně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100,00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100,00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100,00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6E0055" w:rsidRPr="00427F4B" w:rsidTr="004F0DF4">
        <w:tc>
          <w:tcPr>
            <w:tcW w:w="223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Nebezpečný odpad</w:t>
            </w:r>
          </w:p>
        </w:tc>
        <w:tc>
          <w:tcPr>
            <w:tcW w:w="167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mimořádně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3 300,00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7 000,00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5 280,00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5</w:t>
            </w:r>
          </w:p>
        </w:tc>
      </w:tr>
      <w:tr w:rsidR="008E386D" w:rsidRPr="00427F4B" w:rsidTr="004F0DF4">
        <w:tc>
          <w:tcPr>
            <w:tcW w:w="223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Směsný komunální odpad</w:t>
            </w: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41,15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41,15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41,15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42x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34,05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34,05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34,05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32,31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32,31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32,31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241,15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241,15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241,15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143,08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220,38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187,15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3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mimořádně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206,00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206,00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206,00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240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61,54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61,54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61,54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46,92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46,92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46,92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Tříděný odpad - papír</w:t>
            </w: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145,00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145,00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145,00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26x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150,00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150,00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150,00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36,25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189,10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105,78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4</w:t>
            </w:r>
          </w:p>
        </w:tc>
      </w:tr>
      <w:tr w:rsidR="008E386D" w:rsidRPr="00427F4B" w:rsidTr="004F0DF4">
        <w:tc>
          <w:tcPr>
            <w:tcW w:w="223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Tříděný odpad - plast</w:t>
            </w:r>
          </w:p>
        </w:tc>
        <w:tc>
          <w:tcPr>
            <w:tcW w:w="1679" w:type="dxa"/>
            <w:vMerge w:val="restart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104x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2 144,80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2 144,80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2 144,80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52x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36,25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150,00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106,58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5</w:t>
            </w:r>
          </w:p>
        </w:tc>
      </w:tr>
      <w:tr w:rsidR="008E386D" w:rsidRPr="00427F4B" w:rsidTr="004F0DF4">
        <w:tc>
          <w:tcPr>
            <w:tcW w:w="223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679" w:type="dxa"/>
            <w:vMerge/>
            <w:vAlign w:val="center"/>
          </w:tcPr>
          <w:p w:rsidR="008E386D" w:rsidRPr="00427F4B" w:rsidRDefault="008E386D" w:rsidP="006E0055">
            <w:pPr>
              <w:keepNext/>
            </w:pP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mimořádně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185,00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185,00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185,00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1</w:t>
            </w:r>
          </w:p>
        </w:tc>
      </w:tr>
      <w:tr w:rsidR="006E0055" w:rsidRPr="00427F4B" w:rsidTr="004F0DF4">
        <w:tc>
          <w:tcPr>
            <w:tcW w:w="223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Tříděný odpad - sklo barevné</w:t>
            </w:r>
          </w:p>
        </w:tc>
        <w:tc>
          <w:tcPr>
            <w:tcW w:w="167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145,00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296,67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220,83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2</w:t>
            </w:r>
          </w:p>
        </w:tc>
      </w:tr>
      <w:tr w:rsidR="006E0055" w:rsidRPr="00427F4B" w:rsidTr="004F0DF4">
        <w:tc>
          <w:tcPr>
            <w:tcW w:w="223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Tříděný odpad - sklo směs</w:t>
            </w:r>
          </w:p>
        </w:tc>
        <w:tc>
          <w:tcPr>
            <w:tcW w:w="167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1100 l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12x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74,89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150,00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128,72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4</w:t>
            </w:r>
          </w:p>
        </w:tc>
      </w:tr>
      <w:tr w:rsidR="006E0055" w:rsidRPr="00427F4B" w:rsidTr="004F0DF4">
        <w:tc>
          <w:tcPr>
            <w:tcW w:w="223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Velkoobjemový odpad</w:t>
            </w:r>
          </w:p>
        </w:tc>
        <w:tc>
          <w:tcPr>
            <w:tcW w:w="1679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kontejner 9</w:t>
            </w:r>
            <w:r w:rsidR="006658BA" w:rsidRPr="006658BA">
              <w:rPr>
                <w:vertAlign w:val="superscript"/>
              </w:rPr>
              <w:t xml:space="preserve"> </w:t>
            </w:r>
            <w:r w:rsidR="006658BA" w:rsidRPr="006658BA">
              <w:t>m</w:t>
            </w:r>
            <w:r w:rsidR="006658BA">
              <w:rPr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8E386D" w:rsidRPr="00427F4B" w:rsidRDefault="008E386D" w:rsidP="006E0055">
            <w:pPr>
              <w:keepNext/>
            </w:pPr>
            <w:r w:rsidRPr="00427F4B">
              <w:t>mimořádně</w:t>
            </w:r>
          </w:p>
        </w:tc>
        <w:tc>
          <w:tcPr>
            <w:tcW w:w="126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3 500,00 Kč </w:t>
            </w:r>
          </w:p>
        </w:tc>
        <w:tc>
          <w:tcPr>
            <w:tcW w:w="1200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3 600,00 Kč </w:t>
            </w:r>
          </w:p>
        </w:tc>
        <w:tc>
          <w:tcPr>
            <w:tcW w:w="1276" w:type="dxa"/>
            <w:vAlign w:val="center"/>
          </w:tcPr>
          <w:p w:rsidR="008E386D" w:rsidRPr="00427F4B" w:rsidRDefault="008E386D" w:rsidP="006E0055">
            <w:pPr>
              <w:keepNext/>
              <w:jc w:val="right"/>
            </w:pPr>
            <w:r w:rsidRPr="00427F4B">
              <w:t xml:space="preserve">3 550,00 Kč </w:t>
            </w:r>
          </w:p>
        </w:tc>
        <w:tc>
          <w:tcPr>
            <w:tcW w:w="702" w:type="dxa"/>
            <w:vAlign w:val="center"/>
          </w:tcPr>
          <w:p w:rsidR="008E386D" w:rsidRPr="00427F4B" w:rsidRDefault="008E386D" w:rsidP="006E0055">
            <w:pPr>
              <w:keepNext/>
              <w:jc w:val="center"/>
            </w:pPr>
            <w:r w:rsidRPr="00427F4B">
              <w:t>2</w:t>
            </w:r>
          </w:p>
        </w:tc>
      </w:tr>
    </w:tbl>
    <w:p w:rsidR="00573AD3" w:rsidRDefault="00573AD3">
      <w:pPr>
        <w:sectPr w:rsidR="00573AD3" w:rsidSect="00BB6D21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F57B4" w:rsidRDefault="002F57B4" w:rsidP="002F57B4">
      <w:pPr>
        <w:pStyle w:val="Nadpis2"/>
      </w:pPr>
      <w:r>
        <w:lastRenderedPageBreak/>
        <w:t>Celkový přehled cen 1 svozu 1 konkrétní nádoby daného druhu odpadu</w:t>
      </w:r>
    </w:p>
    <w:p w:rsidR="002F57B4" w:rsidRPr="002F57B4" w:rsidRDefault="002F57B4" w:rsidP="002F57B4"/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1701"/>
        <w:gridCol w:w="1081"/>
        <w:gridCol w:w="1223"/>
        <w:gridCol w:w="1224"/>
        <w:gridCol w:w="1223"/>
        <w:gridCol w:w="1224"/>
        <w:gridCol w:w="1223"/>
        <w:gridCol w:w="1224"/>
        <w:gridCol w:w="1223"/>
        <w:gridCol w:w="1224"/>
      </w:tblGrid>
      <w:tr w:rsidR="002F57B4" w:rsidRPr="00573AD3" w:rsidTr="002F57B4">
        <w:trPr>
          <w:cantSplit/>
          <w:trHeight w:val="1356"/>
          <w:tblHeader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4F0DF4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Druh odpadu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4F0DF4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Velikost nádoby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4F0DF4">
            <w:pPr>
              <w:keepNext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Frekvence svozu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F0DF4" w:rsidRPr="006658BA" w:rsidRDefault="004F0DF4" w:rsidP="004F0DF4">
            <w:pPr>
              <w:keepNext/>
              <w:tabs>
                <w:tab w:val="decimal" w:pos="767"/>
              </w:tabs>
              <w:spacing w:before="0"/>
              <w:ind w:left="113" w:right="113"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Minimální cena za 1 svoz 1 nádoby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F0DF4" w:rsidRPr="006658BA" w:rsidRDefault="004F0DF4" w:rsidP="004F0DF4">
            <w:pPr>
              <w:keepNext/>
              <w:spacing w:before="0"/>
              <w:ind w:left="113" w:right="113"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Maximální cena za 1 svoz 1 nádoby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F0DF4" w:rsidRPr="006658BA" w:rsidRDefault="004F0DF4" w:rsidP="004F0DF4">
            <w:pPr>
              <w:keepNext/>
              <w:spacing w:before="0"/>
              <w:ind w:left="113" w:right="113"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Průměrná cena za 1 svoz 1 nádoby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F0DF4" w:rsidRPr="006658BA" w:rsidRDefault="004F0DF4" w:rsidP="004F0DF4">
            <w:pPr>
              <w:keepNext/>
              <w:spacing w:before="0"/>
              <w:ind w:left="113" w:right="113"/>
              <w:rPr>
                <w:b/>
                <w:sz w:val="22"/>
                <w:szCs w:val="22"/>
              </w:rPr>
            </w:pPr>
            <w:r w:rsidRPr="006658BA">
              <w:rPr>
                <w:b/>
                <w:sz w:val="22"/>
                <w:szCs w:val="22"/>
              </w:rPr>
              <w:t>Velikost vzorku</w:t>
            </w:r>
          </w:p>
        </w:tc>
      </w:tr>
      <w:tr w:rsidR="006658BA" w:rsidRPr="00573AD3" w:rsidTr="002F57B4">
        <w:trPr>
          <w:tblHeader/>
        </w:trPr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6658BA" w:rsidRDefault="004F0DF4" w:rsidP="00573AD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6658BA" w:rsidRDefault="004F0DF4" w:rsidP="00573AD3">
            <w:pPr>
              <w:rPr>
                <w:b/>
              </w:rPr>
            </w:pP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6658BA" w:rsidRDefault="004F0DF4" w:rsidP="00573AD3">
            <w:pPr>
              <w:rPr>
                <w:b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Ne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58BA" w:rsidRPr="006658BA" w:rsidRDefault="006658BA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Pronájem</w:t>
            </w:r>
          </w:p>
          <w:p w:rsidR="004F0DF4" w:rsidRPr="006658BA" w:rsidRDefault="004F0DF4" w:rsidP="004F0DF4">
            <w:pPr>
              <w:jc w:val="center"/>
              <w:rPr>
                <w:b/>
              </w:rPr>
            </w:pPr>
            <w:r w:rsidRPr="006658BA">
              <w:rPr>
                <w:b/>
              </w:rPr>
              <w:t>Ano</w:t>
            </w: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BRKO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18x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37,39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38,33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37,86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25,88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27,69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26,49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3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35x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34,29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34,29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34,29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240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18x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46,67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48,39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47,53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16,88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33,54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27,88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3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35x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41,00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41,00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41,00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13,79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13,79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13,79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100,00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100,00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100,00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Nebezpečný odpad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 6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3 639,00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3 639,00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3 639,00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2 609,00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3 300,00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6 086,00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7 000,00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4 347,50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5 280,00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5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kontejnery 10,5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2 400,00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2 400,00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2 400,00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  <w:r w:rsidRPr="006658BA">
              <w:rPr>
                <w:b/>
              </w:rPr>
              <w:lastRenderedPageBreak/>
              <w:t>Směsný komunální odpad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110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13,00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jc w:val="right"/>
            </w:pPr>
            <w:r w:rsidRPr="002F57B4">
              <w:t xml:space="preserve"> 65,42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49,26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5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15x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44,60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44,60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44,60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10,83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41,15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57,21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41,15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41,46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41,15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42x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36,13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34,05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37,14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34,05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36,66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34,05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jc w:val="right"/>
              <w:rPr>
                <w:b/>
                <w:u w:val="single"/>
              </w:rPr>
            </w:pPr>
            <w:r w:rsidRPr="002F57B4">
              <w:rPr>
                <w:b/>
                <w:u w:val="single"/>
              </w:rPr>
              <w:t xml:space="preserve"> 8,29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32,31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42,01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32,31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31,44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32,31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40,00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2F57B4">
            <w:pPr>
              <w:keepNext/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271,15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241,15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271,15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241,15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271,15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241,15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225,97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jc w:val="right"/>
              <w:rPr>
                <w:b/>
                <w:u w:val="single"/>
              </w:rPr>
            </w:pPr>
            <w:r w:rsidRPr="002F57B4">
              <w:rPr>
                <w:b/>
                <w:u w:val="single"/>
              </w:rPr>
              <w:t xml:space="preserve"> 143,08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225,97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220,38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225,97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187,15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3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206,00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206,00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206,00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240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123,25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123,25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123,25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14,90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61,54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59,62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61,54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50,61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61,54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42x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51,21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51,21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51,21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jc w:val="right"/>
              <w:rPr>
                <w:b/>
                <w:u w:val="single"/>
              </w:rPr>
            </w:pPr>
            <w:r w:rsidRPr="002F57B4">
              <w:rPr>
                <w:b/>
                <w:u w:val="single"/>
              </w:rPr>
              <w:t xml:space="preserve"> 13,50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46,92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56,88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46,92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46,49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46,92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55,00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55,00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55,00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80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22,04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22,04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22,04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22,02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22,02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22,02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2 337,00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3 000,00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2 668,50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6,50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52,00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34,17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  <w:r w:rsidRPr="006658BA">
              <w:rPr>
                <w:b/>
              </w:rPr>
              <w:lastRenderedPageBreak/>
              <w:t>Tříděný odpad - papír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145,00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145,00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145,00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26x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36,25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36,25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179,00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189,10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107,63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105,78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4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2F57B4">
            <w:pPr>
              <w:keepNext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2F57B4">
            <w:pPr>
              <w:keepNext/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2F57B4">
            <w:pPr>
              <w:keepNext/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255,00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  <w:r w:rsidRPr="00573AD3">
              <w:t xml:space="preserve"> 196,67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  <w:r w:rsidRPr="00573AD3"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2F57B4">
            <w:pPr>
              <w:keepNext/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Tříděný odpad - plast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104x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2 144,80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2 144,80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2 144,80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52x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190,00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113,13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106,58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5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185,00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185,00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185,00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167,50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185,00 Kč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20,00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Tříděný odpad - sklo barevné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145,00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296,67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220,83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</w:tr>
      <w:tr w:rsidR="002F57B4" w:rsidRPr="00573AD3" w:rsidTr="002F57B4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Tříděný odpad - sklo směs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36,25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74,89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507,00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271,63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128,72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4</w:t>
            </w: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150,00 Kč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pytel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25,00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  <w:tr w:rsidR="002F57B4" w:rsidRPr="00573AD3" w:rsidTr="002F57B4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Velkoobjemový odpad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kontejner 9</w:t>
            </w:r>
            <w:r w:rsidR="006658BA" w:rsidRPr="002F57B4">
              <w:rPr>
                <w:i/>
                <w:vertAlign w:val="superscript"/>
              </w:rPr>
              <w:t xml:space="preserve"> </w:t>
            </w:r>
            <w:r w:rsidR="006658BA" w:rsidRPr="002F57B4">
              <w:rPr>
                <w:i/>
              </w:rPr>
              <w:t>m</w:t>
            </w:r>
            <w:r w:rsidR="006658BA" w:rsidRPr="002F57B4">
              <w:rPr>
                <w:i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mimořádně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3 500,00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3 600,00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3 550,00 Kč 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F0DF4" w:rsidRPr="00573AD3" w:rsidRDefault="004F0DF4" w:rsidP="006658BA">
            <w:pPr>
              <w:jc w:val="center"/>
            </w:pPr>
            <w:r w:rsidRPr="00573AD3">
              <w:t>2</w:t>
            </w:r>
          </w:p>
        </w:tc>
      </w:tr>
      <w:tr w:rsidR="002F57B4" w:rsidRPr="00573AD3" w:rsidTr="002F57B4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DF4" w:rsidRPr="006658BA" w:rsidRDefault="004F0DF4" w:rsidP="006658BA">
            <w:pPr>
              <w:rPr>
                <w:b/>
              </w:rPr>
            </w:pPr>
            <w:r w:rsidRPr="006658BA">
              <w:rPr>
                <w:b/>
              </w:rPr>
              <w:t>Tříděný odpad - tetrapak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DF4" w:rsidRPr="002F57B4" w:rsidRDefault="004F0DF4" w:rsidP="006658BA">
            <w:pPr>
              <w:rPr>
                <w:i/>
              </w:rPr>
            </w:pPr>
            <w:r w:rsidRPr="002F57B4">
              <w:rPr>
                <w:i/>
              </w:rPr>
              <w:t>1100 l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2F57B4" w:rsidRDefault="004F0DF4" w:rsidP="004F0DF4">
            <w:pPr>
              <w:rPr>
                <w:i/>
              </w:rPr>
            </w:pPr>
            <w:r w:rsidRPr="002F57B4">
              <w:rPr>
                <w:i/>
              </w:rPr>
              <w:t>12x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213,42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213,42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  <w:r w:rsidRPr="00573AD3">
              <w:t xml:space="preserve"> 213,42 Kč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4F0DF4">
            <w:pPr>
              <w:jc w:val="right"/>
            </w:pP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0DF4" w:rsidRPr="00573AD3" w:rsidRDefault="004F0DF4" w:rsidP="006658BA">
            <w:pPr>
              <w:jc w:val="center"/>
            </w:pPr>
            <w:r w:rsidRPr="00573AD3"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0DF4" w:rsidRPr="00573AD3" w:rsidRDefault="004F0DF4" w:rsidP="006658BA">
            <w:pPr>
              <w:jc w:val="center"/>
            </w:pPr>
          </w:p>
        </w:tc>
      </w:tr>
    </w:tbl>
    <w:p w:rsidR="00573AD3" w:rsidRDefault="00573AD3" w:rsidP="006E0055">
      <w:pPr>
        <w:pStyle w:val="Nadpis2"/>
      </w:pPr>
    </w:p>
    <w:p w:rsidR="00414469" w:rsidRDefault="00414469" w:rsidP="00414469"/>
    <w:p w:rsidR="00414469" w:rsidRDefault="00414469" w:rsidP="00414469"/>
    <w:p w:rsidR="00414469" w:rsidRDefault="004E5281" w:rsidP="004E5281">
      <w:pPr>
        <w:pStyle w:val="Nadpis2"/>
      </w:pPr>
      <w:r>
        <w:lastRenderedPageBreak/>
        <w:t>Data, která nebyla zahrnuta do analýzy</w:t>
      </w:r>
    </w:p>
    <w:p w:rsidR="004E5281" w:rsidRPr="004E5281" w:rsidRDefault="004E5281" w:rsidP="004E5281"/>
    <w:tbl>
      <w:tblPr>
        <w:tblStyle w:val="Mkatabulky"/>
        <w:tblW w:w="15021" w:type="dxa"/>
        <w:jc w:val="center"/>
        <w:tblLook w:val="04A0" w:firstRow="1" w:lastRow="0" w:firstColumn="1" w:lastColumn="0" w:noHBand="0" w:noVBand="1"/>
      </w:tblPr>
      <w:tblGrid>
        <w:gridCol w:w="1072"/>
        <w:gridCol w:w="1181"/>
        <w:gridCol w:w="2276"/>
        <w:gridCol w:w="1022"/>
        <w:gridCol w:w="1133"/>
        <w:gridCol w:w="566"/>
        <w:gridCol w:w="556"/>
        <w:gridCol w:w="616"/>
        <w:gridCol w:w="1345"/>
        <w:gridCol w:w="1345"/>
        <w:gridCol w:w="1219"/>
        <w:gridCol w:w="1345"/>
        <w:gridCol w:w="1345"/>
      </w:tblGrid>
      <w:tr w:rsidR="001405D9" w:rsidRPr="00414469" w:rsidTr="009567A6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Obec</w:t>
            </w:r>
          </w:p>
        </w:tc>
        <w:tc>
          <w:tcPr>
            <w:tcW w:w="1183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Svozová firma</w:t>
            </w:r>
          </w:p>
        </w:tc>
        <w:tc>
          <w:tcPr>
            <w:tcW w:w="2304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odpad upravený</w:t>
            </w:r>
          </w:p>
        </w:tc>
        <w:tc>
          <w:tcPr>
            <w:tcW w:w="972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nádoba</w:t>
            </w:r>
          </w:p>
        </w:tc>
        <w:tc>
          <w:tcPr>
            <w:tcW w:w="1133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Frekvence upravená</w:t>
            </w:r>
          </w:p>
        </w:tc>
        <w:tc>
          <w:tcPr>
            <w:tcW w:w="566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Pronájem nádob</w:t>
            </w:r>
          </w:p>
        </w:tc>
        <w:tc>
          <w:tcPr>
            <w:tcW w:w="557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Množství jednotek</w:t>
            </w:r>
          </w:p>
        </w:tc>
        <w:tc>
          <w:tcPr>
            <w:tcW w:w="562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Množství upravené</w:t>
            </w:r>
          </w:p>
        </w:tc>
        <w:tc>
          <w:tcPr>
            <w:tcW w:w="1360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Jednotková cena za rok bez DPH*</w:t>
            </w:r>
          </w:p>
        </w:tc>
        <w:tc>
          <w:tcPr>
            <w:tcW w:w="1360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Cena za rok bez DPH</w:t>
            </w:r>
          </w:p>
        </w:tc>
        <w:tc>
          <w:tcPr>
            <w:tcW w:w="1231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DPH</w:t>
            </w:r>
          </w:p>
        </w:tc>
        <w:tc>
          <w:tcPr>
            <w:tcW w:w="1360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Celkem vč. DPH za rok</w:t>
            </w:r>
          </w:p>
        </w:tc>
        <w:tc>
          <w:tcPr>
            <w:tcW w:w="1360" w:type="dxa"/>
            <w:textDirection w:val="btLr"/>
            <w:vAlign w:val="center"/>
          </w:tcPr>
          <w:p w:rsidR="00414469" w:rsidRPr="00414469" w:rsidRDefault="00414469" w:rsidP="001405D9">
            <w:pPr>
              <w:spacing w:before="0"/>
            </w:pPr>
            <w:r w:rsidRPr="00414469">
              <w:t>cena za 1 svoz 1 nádoby</w:t>
            </w: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</w:t>
            </w:r>
            <w:bookmarkStart w:id="0" w:name="_GoBack"/>
            <w:bookmarkEnd w:id="0"/>
            <w:r w:rsidRPr="00414469">
              <w:t>vice</w:t>
            </w:r>
          </w:p>
        </w:tc>
        <w:tc>
          <w:tcPr>
            <w:tcW w:w="1183" w:type="dxa"/>
          </w:tcPr>
          <w:p w:rsidR="00414469" w:rsidRPr="00414469" w:rsidRDefault="00414469" w:rsidP="00414469">
            <w:r w:rsidRPr="00414469">
              <w:t>ASA</w:t>
            </w:r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Nebezpečný odpad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>
            <w:r w:rsidRPr="00414469">
              <w:t>mimořádně</w:t>
            </w:r>
          </w:p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>
            <w:r w:rsidRPr="00414469">
              <w:t>1</w:t>
            </w:r>
          </w:p>
        </w:tc>
        <w:tc>
          <w:tcPr>
            <w:tcW w:w="562" w:type="dxa"/>
          </w:tcPr>
          <w:p w:rsidR="00414469" w:rsidRPr="00414469" w:rsidRDefault="00414469" w:rsidP="00414469">
            <w:r w:rsidRPr="00414469">
              <w:t>1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25 000,00 Kč 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>25 000,00 Kč</w:t>
            </w: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  <w:r w:rsidRPr="00414469">
              <w:t>3 750,00 Kč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28 750,00 Kč 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25 000,00 Kč </w:t>
            </w: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r w:rsidRPr="00414469">
              <w:t>ASA</w:t>
            </w:r>
          </w:p>
        </w:tc>
        <w:tc>
          <w:tcPr>
            <w:tcW w:w="2304" w:type="dxa"/>
          </w:tcPr>
          <w:p w:rsidR="00414469" w:rsidRPr="00414469" w:rsidRDefault="00414469" w:rsidP="00414469">
            <w:proofErr w:type="spellStart"/>
            <w:r w:rsidRPr="00414469">
              <w:t>Pneu</w:t>
            </w:r>
            <w:proofErr w:type="spellEnd"/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>
            <w:r w:rsidRPr="00414469">
              <w:t>mimořádně</w:t>
            </w:r>
          </w:p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>
            <w:r w:rsidRPr="00414469">
              <w:t>1</w:t>
            </w:r>
          </w:p>
        </w:tc>
        <w:tc>
          <w:tcPr>
            <w:tcW w:w="562" w:type="dxa"/>
          </w:tcPr>
          <w:p w:rsidR="00414469" w:rsidRPr="00414469" w:rsidRDefault="00414469" w:rsidP="00414469">
            <w:r w:rsidRPr="00414469">
              <w:t>1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3 990,00 Kč 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>3 990,00 Kč</w:t>
            </w: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  <w:r w:rsidRPr="00414469">
              <w:t>598,50 Kč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4 588,50 Kč </w:t>
            </w: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  <w:r w:rsidRPr="00414469">
              <w:t xml:space="preserve">3 990,00 Kč </w:t>
            </w: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proofErr w:type="spellStart"/>
            <w:r w:rsidRPr="00414469">
              <w:t>Ecobat</w:t>
            </w:r>
            <w:proofErr w:type="spellEnd"/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Baterie všechny, mimo autobaterie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proofErr w:type="spellStart"/>
            <w:r w:rsidRPr="00414469">
              <w:t>Elektrowin</w:t>
            </w:r>
            <w:proofErr w:type="spellEnd"/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Drobné EEZ, pračky, sporáky, lednice mrazáky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proofErr w:type="spellStart"/>
            <w:r w:rsidRPr="00414469">
              <w:t>Asekol</w:t>
            </w:r>
            <w:proofErr w:type="spellEnd"/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Počítače, monitory, televize, lékařské přístroje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r w:rsidRPr="00414469">
              <w:t>ASA</w:t>
            </w:r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textil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proofErr w:type="spellStart"/>
            <w:r w:rsidRPr="00414469">
              <w:t>Revenge</w:t>
            </w:r>
            <w:proofErr w:type="spellEnd"/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textil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proofErr w:type="spellStart"/>
            <w:r w:rsidRPr="00414469">
              <w:t>Ekolamp</w:t>
            </w:r>
            <w:proofErr w:type="spellEnd"/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Úsporná kompaktní zařízení (zářivky, výbojky, atd.)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1405D9" w:rsidRPr="00414469" w:rsidTr="009567A6">
        <w:trPr>
          <w:jc w:val="center"/>
        </w:trPr>
        <w:tc>
          <w:tcPr>
            <w:tcW w:w="0" w:type="auto"/>
          </w:tcPr>
          <w:p w:rsidR="00414469" w:rsidRPr="00414469" w:rsidRDefault="00414469" w:rsidP="00414469">
            <w:r w:rsidRPr="00414469">
              <w:t>Louňovice</w:t>
            </w:r>
          </w:p>
        </w:tc>
        <w:tc>
          <w:tcPr>
            <w:tcW w:w="1183" w:type="dxa"/>
          </w:tcPr>
          <w:p w:rsidR="00414469" w:rsidRPr="00414469" w:rsidRDefault="00414469" w:rsidP="00414469">
            <w:r w:rsidRPr="00414469">
              <w:t>Obec Louňovice</w:t>
            </w:r>
          </w:p>
        </w:tc>
        <w:tc>
          <w:tcPr>
            <w:tcW w:w="2304" w:type="dxa"/>
          </w:tcPr>
          <w:p w:rsidR="00414469" w:rsidRPr="00414469" w:rsidRDefault="00414469" w:rsidP="00414469">
            <w:r w:rsidRPr="00414469">
              <w:t>Železný šrot</w:t>
            </w:r>
          </w:p>
        </w:tc>
        <w:tc>
          <w:tcPr>
            <w:tcW w:w="972" w:type="dxa"/>
          </w:tcPr>
          <w:p w:rsidR="00414469" w:rsidRPr="00414469" w:rsidRDefault="00414469" w:rsidP="00414469"/>
        </w:tc>
        <w:tc>
          <w:tcPr>
            <w:tcW w:w="1133" w:type="dxa"/>
          </w:tcPr>
          <w:p w:rsidR="00414469" w:rsidRPr="00414469" w:rsidRDefault="00414469" w:rsidP="00414469"/>
        </w:tc>
        <w:tc>
          <w:tcPr>
            <w:tcW w:w="566" w:type="dxa"/>
          </w:tcPr>
          <w:p w:rsidR="00414469" w:rsidRPr="00414469" w:rsidRDefault="00414469" w:rsidP="00414469"/>
        </w:tc>
        <w:tc>
          <w:tcPr>
            <w:tcW w:w="557" w:type="dxa"/>
          </w:tcPr>
          <w:p w:rsidR="00414469" w:rsidRPr="00414469" w:rsidRDefault="00414469" w:rsidP="00414469"/>
        </w:tc>
        <w:tc>
          <w:tcPr>
            <w:tcW w:w="562" w:type="dxa"/>
          </w:tcPr>
          <w:p w:rsidR="00414469" w:rsidRPr="00414469" w:rsidRDefault="00414469" w:rsidP="00414469"/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231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  <w:tc>
          <w:tcPr>
            <w:tcW w:w="1360" w:type="dxa"/>
          </w:tcPr>
          <w:p w:rsidR="00414469" w:rsidRPr="00414469" w:rsidRDefault="00414469" w:rsidP="001405D9">
            <w:pPr>
              <w:jc w:val="right"/>
            </w:pP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9567A6" w:rsidRDefault="009567A6" w:rsidP="009567A6">
            <w:r w:rsidRPr="009567A6">
              <w:t>Struhařov</w:t>
            </w:r>
          </w:p>
        </w:tc>
        <w:tc>
          <w:tcPr>
            <w:tcW w:w="1183" w:type="dxa"/>
          </w:tcPr>
          <w:p w:rsidR="009567A6" w:rsidRPr="009567A6" w:rsidRDefault="009567A6" w:rsidP="009567A6">
            <w:proofErr w:type="spellStart"/>
            <w:r w:rsidRPr="009567A6">
              <w:t>Durek</w:t>
            </w:r>
            <w:proofErr w:type="spellEnd"/>
          </w:p>
        </w:tc>
        <w:tc>
          <w:tcPr>
            <w:tcW w:w="2304" w:type="dxa"/>
          </w:tcPr>
          <w:p w:rsidR="009567A6" w:rsidRPr="009567A6" w:rsidRDefault="009567A6" w:rsidP="009567A6">
            <w:r w:rsidRPr="009567A6">
              <w:t>Tříděný odpad - kov</w:t>
            </w:r>
          </w:p>
        </w:tc>
        <w:tc>
          <w:tcPr>
            <w:tcW w:w="972" w:type="dxa"/>
          </w:tcPr>
          <w:p w:rsidR="009567A6" w:rsidRPr="009567A6" w:rsidRDefault="009567A6" w:rsidP="009567A6">
            <w:r w:rsidRPr="009567A6">
              <w:t>K</w:t>
            </w:r>
            <w:r w:rsidRPr="009567A6">
              <w:t>ont</w:t>
            </w:r>
            <w:r>
              <w:t>.</w:t>
            </w:r>
            <w:r w:rsidRPr="009567A6">
              <w:t>9m3</w:t>
            </w:r>
          </w:p>
        </w:tc>
        <w:tc>
          <w:tcPr>
            <w:tcW w:w="1133" w:type="dxa"/>
          </w:tcPr>
          <w:p w:rsidR="009567A6" w:rsidRPr="009567A6" w:rsidRDefault="009567A6" w:rsidP="009567A6">
            <w:r w:rsidRPr="009567A6">
              <w:t>mimořádně</w:t>
            </w:r>
          </w:p>
        </w:tc>
        <w:tc>
          <w:tcPr>
            <w:tcW w:w="566" w:type="dxa"/>
          </w:tcPr>
          <w:p w:rsidR="009567A6" w:rsidRPr="009567A6" w:rsidRDefault="009567A6" w:rsidP="009567A6">
            <w:r w:rsidRPr="009567A6">
              <w:t>Ano</w:t>
            </w:r>
          </w:p>
        </w:tc>
        <w:tc>
          <w:tcPr>
            <w:tcW w:w="557" w:type="dxa"/>
          </w:tcPr>
          <w:p w:rsidR="009567A6" w:rsidRPr="009567A6" w:rsidRDefault="009567A6" w:rsidP="009567A6">
            <w:r w:rsidRPr="009567A6">
              <w:t>1</w:t>
            </w:r>
          </w:p>
        </w:tc>
        <w:tc>
          <w:tcPr>
            <w:tcW w:w="562" w:type="dxa"/>
          </w:tcPr>
          <w:p w:rsidR="009567A6" w:rsidRPr="009567A6" w:rsidRDefault="009567A6" w:rsidP="009567A6">
            <w:r w:rsidRPr="009567A6">
              <w:t>1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231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Světice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ASA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Směsný komunální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/>
        </w:tc>
        <w:tc>
          <w:tcPr>
            <w:tcW w:w="566" w:type="dxa"/>
          </w:tcPr>
          <w:p w:rsidR="009567A6" w:rsidRPr="00414469" w:rsidRDefault="009567A6" w:rsidP="009567A6"/>
        </w:tc>
        <w:tc>
          <w:tcPr>
            <w:tcW w:w="557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5 979,50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5 979,50 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896,93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6 876,43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5 979,50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Světice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ASA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Směsný komunální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/>
        </w:tc>
        <w:tc>
          <w:tcPr>
            <w:tcW w:w="566" w:type="dxa"/>
          </w:tcPr>
          <w:p w:rsidR="009567A6" w:rsidRPr="00414469" w:rsidRDefault="009567A6" w:rsidP="009567A6"/>
        </w:tc>
        <w:tc>
          <w:tcPr>
            <w:tcW w:w="557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2 750,00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2 750,00 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412,50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3 162,50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2 750,00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Světice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ASA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Směsný komunální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/>
        </w:tc>
        <w:tc>
          <w:tcPr>
            <w:tcW w:w="566" w:type="dxa"/>
          </w:tcPr>
          <w:p w:rsidR="009567A6" w:rsidRPr="00414469" w:rsidRDefault="009567A6" w:rsidP="009567A6"/>
        </w:tc>
        <w:tc>
          <w:tcPr>
            <w:tcW w:w="557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4 042,50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4 042,50 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606,38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4 648,88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4 042,50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Světice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ASA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Směsný komunální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/>
        </w:tc>
        <w:tc>
          <w:tcPr>
            <w:tcW w:w="566" w:type="dxa"/>
          </w:tcPr>
          <w:p w:rsidR="009567A6" w:rsidRPr="00414469" w:rsidRDefault="009567A6" w:rsidP="009567A6"/>
        </w:tc>
        <w:tc>
          <w:tcPr>
            <w:tcW w:w="557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3 696,00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3 696,00 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554,40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4 250,40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3 696,00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9567A6" w:rsidRDefault="009567A6" w:rsidP="009567A6">
            <w:r w:rsidRPr="009567A6">
              <w:lastRenderedPageBreak/>
              <w:t>Tehov</w:t>
            </w:r>
          </w:p>
        </w:tc>
        <w:tc>
          <w:tcPr>
            <w:tcW w:w="1183" w:type="dxa"/>
          </w:tcPr>
          <w:p w:rsidR="009567A6" w:rsidRPr="009567A6" w:rsidRDefault="009567A6" w:rsidP="009567A6"/>
        </w:tc>
        <w:tc>
          <w:tcPr>
            <w:tcW w:w="2304" w:type="dxa"/>
          </w:tcPr>
          <w:p w:rsidR="009567A6" w:rsidRPr="009567A6" w:rsidRDefault="009567A6" w:rsidP="009567A6">
            <w:r w:rsidRPr="009567A6">
              <w:t>BRKO</w:t>
            </w:r>
          </w:p>
        </w:tc>
        <w:tc>
          <w:tcPr>
            <w:tcW w:w="972" w:type="dxa"/>
          </w:tcPr>
          <w:p w:rsidR="009567A6" w:rsidRPr="009567A6" w:rsidRDefault="009567A6" w:rsidP="009567A6">
            <w:r w:rsidRPr="009567A6">
              <w:t>240 l</w:t>
            </w:r>
          </w:p>
        </w:tc>
        <w:tc>
          <w:tcPr>
            <w:tcW w:w="1133" w:type="dxa"/>
          </w:tcPr>
          <w:p w:rsidR="009567A6" w:rsidRPr="009567A6" w:rsidRDefault="009567A6" w:rsidP="009567A6">
            <w:r w:rsidRPr="009567A6">
              <w:t>26x</w:t>
            </w:r>
          </w:p>
        </w:tc>
        <w:tc>
          <w:tcPr>
            <w:tcW w:w="566" w:type="dxa"/>
          </w:tcPr>
          <w:p w:rsidR="009567A6" w:rsidRPr="009567A6" w:rsidRDefault="009567A6" w:rsidP="009567A6">
            <w:r w:rsidRPr="009567A6">
              <w:t>Ne</w:t>
            </w:r>
          </w:p>
        </w:tc>
        <w:tc>
          <w:tcPr>
            <w:tcW w:w="557" w:type="dxa"/>
          </w:tcPr>
          <w:p w:rsidR="009567A6" w:rsidRPr="009567A6" w:rsidRDefault="009567A6" w:rsidP="009567A6">
            <w:r w:rsidRPr="009567A6">
              <w:t>300</w:t>
            </w:r>
          </w:p>
        </w:tc>
        <w:tc>
          <w:tcPr>
            <w:tcW w:w="562" w:type="dxa"/>
          </w:tcPr>
          <w:p w:rsidR="009567A6" w:rsidRPr="009567A6" w:rsidRDefault="009567A6" w:rsidP="009567A6">
            <w:r w:rsidRPr="009567A6">
              <w:t>7800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300,00 Kč </w:t>
            </w:r>
          </w:p>
        </w:tc>
        <w:tc>
          <w:tcPr>
            <w:tcW w:w="1231" w:type="dxa"/>
          </w:tcPr>
          <w:p w:rsidR="009567A6" w:rsidRPr="009567A6" w:rsidRDefault="009567A6" w:rsidP="009567A6">
            <w:r w:rsidRPr="009567A6">
              <w:t xml:space="preserve"> 45,00 Kč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345,00 Kč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0,04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9567A6" w:rsidRDefault="009567A6" w:rsidP="009567A6">
            <w:r w:rsidRPr="009567A6">
              <w:t>Tehov</w:t>
            </w:r>
          </w:p>
        </w:tc>
        <w:tc>
          <w:tcPr>
            <w:tcW w:w="1183" w:type="dxa"/>
          </w:tcPr>
          <w:p w:rsidR="009567A6" w:rsidRPr="009567A6" w:rsidRDefault="009567A6" w:rsidP="009567A6">
            <w:r w:rsidRPr="009567A6">
              <w:t>ASA</w:t>
            </w:r>
          </w:p>
        </w:tc>
        <w:tc>
          <w:tcPr>
            <w:tcW w:w="2304" w:type="dxa"/>
          </w:tcPr>
          <w:p w:rsidR="009567A6" w:rsidRPr="009567A6" w:rsidRDefault="009567A6" w:rsidP="009567A6">
            <w:r w:rsidRPr="009567A6">
              <w:t>Tříděný odpad - kov</w:t>
            </w:r>
          </w:p>
        </w:tc>
        <w:tc>
          <w:tcPr>
            <w:tcW w:w="972" w:type="dxa"/>
          </w:tcPr>
          <w:p w:rsidR="009567A6" w:rsidRPr="009567A6" w:rsidRDefault="009567A6" w:rsidP="009567A6">
            <w:r w:rsidRPr="009567A6">
              <w:t>240 l</w:t>
            </w:r>
          </w:p>
        </w:tc>
        <w:tc>
          <w:tcPr>
            <w:tcW w:w="1133" w:type="dxa"/>
          </w:tcPr>
          <w:p w:rsidR="009567A6" w:rsidRPr="009567A6" w:rsidRDefault="009567A6" w:rsidP="009567A6">
            <w:r w:rsidRPr="009567A6">
              <w:t>26x</w:t>
            </w:r>
          </w:p>
        </w:tc>
        <w:tc>
          <w:tcPr>
            <w:tcW w:w="566" w:type="dxa"/>
          </w:tcPr>
          <w:p w:rsidR="009567A6" w:rsidRPr="009567A6" w:rsidRDefault="009567A6" w:rsidP="009567A6">
            <w:r w:rsidRPr="009567A6">
              <w:t>Ne</w:t>
            </w:r>
          </w:p>
        </w:tc>
        <w:tc>
          <w:tcPr>
            <w:tcW w:w="557" w:type="dxa"/>
          </w:tcPr>
          <w:p w:rsidR="009567A6" w:rsidRPr="009567A6" w:rsidRDefault="009567A6" w:rsidP="009567A6">
            <w:r w:rsidRPr="009567A6">
              <w:t>3</w:t>
            </w:r>
          </w:p>
        </w:tc>
        <w:tc>
          <w:tcPr>
            <w:tcW w:w="562" w:type="dxa"/>
          </w:tcPr>
          <w:p w:rsidR="009567A6" w:rsidRPr="009567A6" w:rsidRDefault="009567A6" w:rsidP="009567A6">
            <w:r w:rsidRPr="009567A6">
              <w:t>78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231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P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  <w:r w:rsidRPr="009567A6">
              <w:t xml:space="preserve"> </w:t>
            </w:r>
          </w:p>
        </w:tc>
        <w:tc>
          <w:tcPr>
            <w:tcW w:w="1360" w:type="dxa"/>
          </w:tcPr>
          <w:p w:rsidR="009567A6" w:rsidRDefault="009567A6" w:rsidP="009567A6">
            <w:r w:rsidRPr="009567A6">
              <w:t xml:space="preserve"> </w:t>
            </w:r>
            <w:proofErr w:type="gramStart"/>
            <w:r w:rsidRPr="009567A6">
              <w:t>-   Kč</w:t>
            </w:r>
            <w:proofErr w:type="gramEnd"/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Všestary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TS Benešov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Směsný komunální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>
            <w:r w:rsidRPr="00414469">
              <w:t>42x</w:t>
            </w:r>
          </w:p>
        </w:tc>
        <w:tc>
          <w:tcPr>
            <w:tcW w:w="566" w:type="dxa"/>
          </w:tcPr>
          <w:p w:rsidR="009567A6" w:rsidRPr="00414469" w:rsidRDefault="009567A6" w:rsidP="009567A6">
            <w:r w:rsidRPr="00414469">
              <w:t>Ano</w:t>
            </w:r>
          </w:p>
        </w:tc>
        <w:tc>
          <w:tcPr>
            <w:tcW w:w="557" w:type="dxa"/>
          </w:tcPr>
          <w:p w:rsidR="009567A6" w:rsidRPr="00414469" w:rsidRDefault="009567A6" w:rsidP="009567A6">
            <w:r w:rsidRPr="00414469">
              <w:t>15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630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780,00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11 700,00</w:t>
            </w:r>
            <w:r>
              <w:t xml:space="preserve"> </w:t>
            </w:r>
            <w:r w:rsidRPr="00414469">
              <w:t>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1 755,00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13 455,00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18,57 Kč </w:t>
            </w:r>
          </w:p>
        </w:tc>
      </w:tr>
      <w:tr w:rsidR="009567A6" w:rsidRPr="00414469" w:rsidTr="009567A6">
        <w:trPr>
          <w:jc w:val="center"/>
        </w:trPr>
        <w:tc>
          <w:tcPr>
            <w:tcW w:w="0" w:type="auto"/>
          </w:tcPr>
          <w:p w:rsidR="009567A6" w:rsidRPr="00414469" w:rsidRDefault="009567A6" w:rsidP="009567A6">
            <w:r w:rsidRPr="00414469">
              <w:t>Vyžlovka</w:t>
            </w:r>
          </w:p>
        </w:tc>
        <w:tc>
          <w:tcPr>
            <w:tcW w:w="1183" w:type="dxa"/>
          </w:tcPr>
          <w:p w:rsidR="009567A6" w:rsidRPr="00414469" w:rsidRDefault="009567A6" w:rsidP="009567A6">
            <w:r w:rsidRPr="00414469">
              <w:t>skládka</w:t>
            </w:r>
          </w:p>
        </w:tc>
        <w:tc>
          <w:tcPr>
            <w:tcW w:w="2304" w:type="dxa"/>
          </w:tcPr>
          <w:p w:rsidR="009567A6" w:rsidRPr="00414469" w:rsidRDefault="009567A6" w:rsidP="009567A6">
            <w:r w:rsidRPr="00414469">
              <w:t>Nebezpečný odpad</w:t>
            </w:r>
          </w:p>
        </w:tc>
        <w:tc>
          <w:tcPr>
            <w:tcW w:w="972" w:type="dxa"/>
          </w:tcPr>
          <w:p w:rsidR="009567A6" w:rsidRPr="00414469" w:rsidRDefault="009567A6" w:rsidP="009567A6"/>
        </w:tc>
        <w:tc>
          <w:tcPr>
            <w:tcW w:w="1133" w:type="dxa"/>
          </w:tcPr>
          <w:p w:rsidR="009567A6" w:rsidRPr="00414469" w:rsidRDefault="009567A6" w:rsidP="009567A6">
            <w:r w:rsidRPr="00414469">
              <w:t>mimořádně</w:t>
            </w:r>
          </w:p>
        </w:tc>
        <w:tc>
          <w:tcPr>
            <w:tcW w:w="566" w:type="dxa"/>
          </w:tcPr>
          <w:p w:rsidR="009567A6" w:rsidRPr="00414469" w:rsidRDefault="009567A6" w:rsidP="009567A6"/>
        </w:tc>
        <w:tc>
          <w:tcPr>
            <w:tcW w:w="557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562" w:type="dxa"/>
          </w:tcPr>
          <w:p w:rsidR="009567A6" w:rsidRPr="00414469" w:rsidRDefault="009567A6" w:rsidP="009567A6">
            <w:r w:rsidRPr="00414469">
              <w:t>1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2 924,00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2 924,00 Kč</w:t>
            </w:r>
          </w:p>
        </w:tc>
        <w:tc>
          <w:tcPr>
            <w:tcW w:w="1231" w:type="dxa"/>
          </w:tcPr>
          <w:p w:rsidR="009567A6" w:rsidRPr="00414469" w:rsidRDefault="009567A6" w:rsidP="009567A6">
            <w:pPr>
              <w:jc w:val="right"/>
            </w:pPr>
            <w:r w:rsidRPr="00414469">
              <w:t>438,60 Kč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 xml:space="preserve">3 362,60 Kč </w:t>
            </w:r>
          </w:p>
        </w:tc>
        <w:tc>
          <w:tcPr>
            <w:tcW w:w="1360" w:type="dxa"/>
          </w:tcPr>
          <w:p w:rsidR="009567A6" w:rsidRPr="00414469" w:rsidRDefault="009567A6" w:rsidP="009567A6">
            <w:pPr>
              <w:jc w:val="right"/>
            </w:pPr>
            <w:r w:rsidRPr="00414469">
              <w:t>2 924,00 Kč</w:t>
            </w:r>
          </w:p>
        </w:tc>
      </w:tr>
    </w:tbl>
    <w:p w:rsidR="00414469" w:rsidRDefault="00414469" w:rsidP="009567A6"/>
    <w:p w:rsidR="009567A6" w:rsidRPr="00414469" w:rsidRDefault="009567A6" w:rsidP="009567A6">
      <w:pPr>
        <w:sectPr w:rsidR="009567A6" w:rsidRPr="00414469" w:rsidSect="006658B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E0055" w:rsidRDefault="006E0055" w:rsidP="006E0055">
      <w:pPr>
        <w:pStyle w:val="Nadpis2"/>
      </w:pPr>
      <w:r>
        <w:lastRenderedPageBreak/>
        <w:t>Příloha</w:t>
      </w:r>
    </w:p>
    <w:p w:rsidR="006E0055" w:rsidRDefault="006E0055">
      <w:pPr>
        <w:sectPr w:rsidR="006E0055" w:rsidSect="00BB6D21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F6EDC" w:rsidRDefault="00EF6EDC">
      <w:r>
        <w:lastRenderedPageBreak/>
        <w:t>Počet obcí, které odevzdaly data: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Černé Voděrady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Klokočná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Louňovice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Struhařov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Světice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Tehov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Všestary</w:t>
      </w:r>
    </w:p>
    <w:p w:rsidR="00EF6EDC" w:rsidRDefault="00EF6EDC" w:rsidP="00EF6EDC">
      <w:pPr>
        <w:pStyle w:val="Odstavecseseznamem"/>
        <w:numPr>
          <w:ilvl w:val="0"/>
          <w:numId w:val="1"/>
        </w:numPr>
      </w:pPr>
      <w:r>
        <w:t>Vyžlovka</w:t>
      </w:r>
    </w:p>
    <w:p w:rsidR="00EF6EDC" w:rsidRDefault="006E0055">
      <w:r>
        <w:br w:type="column"/>
      </w:r>
      <w:r w:rsidR="00EF6EDC">
        <w:lastRenderedPageBreak/>
        <w:t>Počet uvedených svozových firem:</w:t>
      </w:r>
    </w:p>
    <w:p w:rsidR="00EF6EDC" w:rsidRDefault="00EF6EDC" w:rsidP="00EF6EDC">
      <w:pPr>
        <w:pStyle w:val="Odstavecseseznamem"/>
        <w:numPr>
          <w:ilvl w:val="0"/>
          <w:numId w:val="3"/>
        </w:numPr>
      </w:pPr>
      <w:r>
        <w:t>ASA</w:t>
      </w:r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Asekol</w:t>
      </w:r>
      <w:proofErr w:type="spellEnd"/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Durek</w:t>
      </w:r>
      <w:proofErr w:type="spellEnd"/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Ecobat</w:t>
      </w:r>
      <w:proofErr w:type="spellEnd"/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Ekolamp</w:t>
      </w:r>
      <w:proofErr w:type="spellEnd"/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Elektrowin</w:t>
      </w:r>
      <w:proofErr w:type="spellEnd"/>
    </w:p>
    <w:p w:rsidR="00EF6EDC" w:rsidRDefault="00EF6EDC" w:rsidP="00EF6EDC">
      <w:pPr>
        <w:pStyle w:val="Odstavecseseznamem"/>
        <w:numPr>
          <w:ilvl w:val="0"/>
          <w:numId w:val="2"/>
        </w:numPr>
      </w:pPr>
      <w:r>
        <w:t xml:space="preserve">Marius </w:t>
      </w:r>
      <w:proofErr w:type="spellStart"/>
      <w:r>
        <w:t>Pedersen</w:t>
      </w:r>
      <w:proofErr w:type="spellEnd"/>
    </w:p>
    <w:p w:rsidR="00EF6EDC" w:rsidRDefault="00381B59" w:rsidP="00EF6EDC">
      <w:pPr>
        <w:pStyle w:val="Odstavecseseznamem"/>
        <w:numPr>
          <w:ilvl w:val="0"/>
          <w:numId w:val="2"/>
        </w:numPr>
      </w:pPr>
      <w:r>
        <w:t>M</w:t>
      </w:r>
      <w:r w:rsidR="00EF6EDC">
        <w:t>ístní</w:t>
      </w:r>
    </w:p>
    <w:p w:rsidR="00EF6EDC" w:rsidRDefault="00EF6EDC" w:rsidP="00EF6EDC">
      <w:pPr>
        <w:pStyle w:val="Odstavecseseznamem"/>
        <w:numPr>
          <w:ilvl w:val="0"/>
          <w:numId w:val="3"/>
        </w:numPr>
      </w:pPr>
      <w:r>
        <w:t>Obec Louňovice</w:t>
      </w:r>
    </w:p>
    <w:p w:rsidR="00EF6EDC" w:rsidRDefault="00EF6EDC" w:rsidP="00EF6EDC">
      <w:pPr>
        <w:pStyle w:val="Odstavecseseznamem"/>
        <w:numPr>
          <w:ilvl w:val="0"/>
          <w:numId w:val="2"/>
        </w:numPr>
      </w:pPr>
      <w:proofErr w:type="spellStart"/>
      <w:r>
        <w:t>Revenge</w:t>
      </w:r>
      <w:proofErr w:type="spellEnd"/>
    </w:p>
    <w:p w:rsidR="00EF6EDC" w:rsidRDefault="00381B59" w:rsidP="00EF6EDC">
      <w:pPr>
        <w:pStyle w:val="Odstavecseseznamem"/>
        <w:numPr>
          <w:ilvl w:val="0"/>
          <w:numId w:val="2"/>
        </w:numPr>
      </w:pPr>
      <w:r>
        <w:t>S</w:t>
      </w:r>
      <w:r w:rsidR="00EF6EDC">
        <w:t>kládka</w:t>
      </w:r>
    </w:p>
    <w:p w:rsidR="00EF6EDC" w:rsidRDefault="00EF6EDC" w:rsidP="00EF6EDC">
      <w:pPr>
        <w:pStyle w:val="Odstavecseseznamem"/>
        <w:numPr>
          <w:ilvl w:val="0"/>
          <w:numId w:val="2"/>
        </w:numPr>
      </w:pPr>
      <w:r>
        <w:t>TS Benešov</w:t>
      </w:r>
    </w:p>
    <w:p w:rsidR="00EF6EDC" w:rsidRDefault="00381B59" w:rsidP="00EF6EDC">
      <w:pPr>
        <w:pStyle w:val="Odstavecseseznamem"/>
        <w:numPr>
          <w:ilvl w:val="0"/>
          <w:numId w:val="2"/>
        </w:numPr>
      </w:pPr>
      <w:r>
        <w:t>Ž</w:t>
      </w:r>
      <w:r w:rsidR="00EF6EDC">
        <w:t>ádná</w:t>
      </w:r>
    </w:p>
    <w:p w:rsidR="006E0055" w:rsidRDefault="006E0055">
      <w:pPr>
        <w:sectPr w:rsidR="006E0055" w:rsidSect="006E0055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F6EDC" w:rsidRDefault="00E67F47">
      <w:r>
        <w:lastRenderedPageBreak/>
        <w:t>S</w:t>
      </w:r>
      <w:r w:rsidR="00EF6EDC">
        <w:t>jedno</w:t>
      </w:r>
      <w:r>
        <w:t>cené</w:t>
      </w:r>
      <w:r w:rsidR="00EF6EDC">
        <w:t xml:space="preserve"> </w:t>
      </w:r>
      <w:r w:rsidR="00381B59">
        <w:t>kategorie</w:t>
      </w:r>
      <w:r w:rsidR="00EF6EDC">
        <w:t xml:space="preserve"> u jednotlivých </w:t>
      </w:r>
      <w:r w:rsidR="00381B59">
        <w:t>kritérií:</w:t>
      </w:r>
    </w:p>
    <w:p w:rsidR="006E0055" w:rsidRDefault="006E0055" w:rsidP="00381B59">
      <w:pPr>
        <w:pStyle w:val="Odstavecseseznamem"/>
        <w:numPr>
          <w:ilvl w:val="0"/>
          <w:numId w:val="4"/>
        </w:numPr>
        <w:sectPr w:rsidR="006E0055" w:rsidSect="006E005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381B59" w:rsidRDefault="00381B59" w:rsidP="00381B59">
      <w:pPr>
        <w:pStyle w:val="Odstavecseseznamem"/>
        <w:numPr>
          <w:ilvl w:val="0"/>
          <w:numId w:val="4"/>
        </w:numPr>
      </w:pPr>
      <w:r>
        <w:lastRenderedPageBreak/>
        <w:t>Druh odpadu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Baterie všechny, mimo autobaterie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BRKO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Drobné EEZ, pračky, sporáky, lednice mrazáky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Nebezpečný odpad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proofErr w:type="spellStart"/>
      <w:r>
        <w:t>Pneu</w:t>
      </w:r>
      <w:proofErr w:type="spellEnd"/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Počítače, monitory, televize, lékařské přístroje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Textil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kov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papír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plast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sklo barevné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sklo směs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Tříděný odpad - tetrapak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Úsporná kompaktní zařízení (zářivky, výbojky, atd.)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Velkoobjemový odpad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Železný šrot</w:t>
      </w:r>
    </w:p>
    <w:p w:rsidR="00381B59" w:rsidRDefault="006E0055" w:rsidP="00381B59">
      <w:pPr>
        <w:pStyle w:val="Odstavecseseznamem"/>
        <w:numPr>
          <w:ilvl w:val="0"/>
          <w:numId w:val="4"/>
        </w:numPr>
      </w:pPr>
      <w:r>
        <w:br w:type="column"/>
      </w:r>
      <w:r w:rsidR="00381B59">
        <w:lastRenderedPageBreak/>
        <w:t>Frekvence svozu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12x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15x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18x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26x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35x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42x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52x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104x</w:t>
      </w:r>
    </w:p>
    <w:p w:rsidR="00381B59" w:rsidRDefault="00381B59" w:rsidP="00381B59">
      <w:pPr>
        <w:pStyle w:val="Odstavecseseznamem"/>
        <w:numPr>
          <w:ilvl w:val="1"/>
          <w:numId w:val="4"/>
        </w:numPr>
      </w:pPr>
      <w:r>
        <w:t>Mimořádně</w:t>
      </w:r>
    </w:p>
    <w:p w:rsidR="006E0055" w:rsidRDefault="006E0055">
      <w:pPr>
        <w:sectPr w:rsidR="006E0055" w:rsidSect="006E0055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67F47" w:rsidRPr="00381B59" w:rsidRDefault="00E67F47"/>
    <w:sectPr w:rsidR="00E67F47" w:rsidRPr="00381B59" w:rsidSect="006E0055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45" w:rsidRDefault="00081C45" w:rsidP="00E67F47">
      <w:pPr>
        <w:spacing w:after="0" w:line="240" w:lineRule="auto"/>
      </w:pPr>
      <w:r>
        <w:separator/>
      </w:r>
    </w:p>
  </w:endnote>
  <w:endnote w:type="continuationSeparator" w:id="0">
    <w:p w:rsidR="00081C45" w:rsidRDefault="00081C45" w:rsidP="00E6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11013"/>
      <w:docPartObj>
        <w:docPartGallery w:val="Page Numbers (Bottom of Page)"/>
        <w:docPartUnique/>
      </w:docPartObj>
    </w:sdtPr>
    <w:sdtContent>
      <w:p w:rsidR="005A7083" w:rsidRDefault="005A7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A6">
          <w:rPr>
            <w:noProof/>
          </w:rPr>
          <w:t>1</w:t>
        </w:r>
        <w:r>
          <w:fldChar w:fldCharType="end"/>
        </w:r>
      </w:p>
    </w:sdtContent>
  </w:sdt>
  <w:p w:rsidR="005A7083" w:rsidRDefault="005A7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45" w:rsidRDefault="00081C45" w:rsidP="00E67F47">
      <w:pPr>
        <w:spacing w:after="0" w:line="240" w:lineRule="auto"/>
      </w:pPr>
      <w:r>
        <w:separator/>
      </w:r>
    </w:p>
  </w:footnote>
  <w:footnote w:type="continuationSeparator" w:id="0">
    <w:p w:rsidR="00081C45" w:rsidRDefault="00081C45" w:rsidP="00E67F47">
      <w:pPr>
        <w:spacing w:after="0" w:line="240" w:lineRule="auto"/>
      </w:pPr>
      <w:r>
        <w:continuationSeparator/>
      </w:r>
    </w:p>
  </w:footnote>
  <w:footnote w:id="1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Seznam obcí je uveden v příloze</w:t>
      </w:r>
    </w:p>
  </w:footnote>
  <w:footnote w:id="2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Seznam svozových firem je uveden v příloze</w:t>
      </w:r>
    </w:p>
  </w:footnote>
  <w:footnote w:id="3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Seznam druhů odpadů je uveden v příloze</w:t>
      </w:r>
    </w:p>
  </w:footnote>
  <w:footnote w:id="4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Seznam druhů nádob je uveden v příloze</w:t>
      </w:r>
    </w:p>
  </w:footnote>
  <w:footnote w:id="5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Seznam možných frekvencí svozu je uveden v příloze</w:t>
      </w:r>
    </w:p>
  </w:footnote>
  <w:footnote w:id="6">
    <w:p w:rsidR="005A7083" w:rsidRDefault="005A7083">
      <w:pPr>
        <w:pStyle w:val="Textpoznpodarou"/>
      </w:pPr>
      <w:r>
        <w:rPr>
          <w:rStyle w:val="Znakapoznpodarou"/>
        </w:rPr>
        <w:footnoteRef/>
      </w:r>
      <w:r>
        <w:t xml:space="preserve"> Vyřazené řádky jsou uvedeny v příloze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7A1"/>
    <w:multiLevelType w:val="hybridMultilevel"/>
    <w:tmpl w:val="6BECB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107D0"/>
    <w:multiLevelType w:val="hybridMultilevel"/>
    <w:tmpl w:val="D3808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61C0"/>
    <w:multiLevelType w:val="multilevel"/>
    <w:tmpl w:val="37D4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C9451F"/>
    <w:multiLevelType w:val="hybridMultilevel"/>
    <w:tmpl w:val="0B4C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C"/>
    <w:rsid w:val="00062935"/>
    <w:rsid w:val="00081C45"/>
    <w:rsid w:val="001261B7"/>
    <w:rsid w:val="001405D9"/>
    <w:rsid w:val="002F57B4"/>
    <w:rsid w:val="003045E4"/>
    <w:rsid w:val="00381B59"/>
    <w:rsid w:val="003E638D"/>
    <w:rsid w:val="00414469"/>
    <w:rsid w:val="00427F4B"/>
    <w:rsid w:val="004E5281"/>
    <w:rsid w:val="004E595A"/>
    <w:rsid w:val="004F0DF4"/>
    <w:rsid w:val="00573AD3"/>
    <w:rsid w:val="005A7083"/>
    <w:rsid w:val="005C3CE8"/>
    <w:rsid w:val="006658BA"/>
    <w:rsid w:val="00672085"/>
    <w:rsid w:val="006C2B24"/>
    <w:rsid w:val="006E0055"/>
    <w:rsid w:val="008E386D"/>
    <w:rsid w:val="009567A6"/>
    <w:rsid w:val="009E1D46"/>
    <w:rsid w:val="009E6B62"/>
    <w:rsid w:val="00A6486F"/>
    <w:rsid w:val="00AD7353"/>
    <w:rsid w:val="00B65AE2"/>
    <w:rsid w:val="00B65DD3"/>
    <w:rsid w:val="00B92EDA"/>
    <w:rsid w:val="00BB6D21"/>
    <w:rsid w:val="00BC76B0"/>
    <w:rsid w:val="00C7331F"/>
    <w:rsid w:val="00DE047E"/>
    <w:rsid w:val="00E67F47"/>
    <w:rsid w:val="00EE7F24"/>
    <w:rsid w:val="00EF6564"/>
    <w:rsid w:val="00EF6EDC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2721-FF33-4B59-8304-3E1902E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055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E00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0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005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005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005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005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005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00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0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E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005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7F47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7F4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7331F"/>
    <w:rPr>
      <w:color w:val="808080"/>
    </w:rPr>
  </w:style>
  <w:style w:type="table" w:styleId="Mkatabulky">
    <w:name w:val="Table Grid"/>
    <w:basedOn w:val="Normlntabulka"/>
    <w:uiPriority w:val="39"/>
    <w:rsid w:val="00BB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E0055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0055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0055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0055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0055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0055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005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0055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0055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E005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005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00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E0055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6E0055"/>
    <w:rPr>
      <w:b/>
      <w:bCs/>
    </w:rPr>
  </w:style>
  <w:style w:type="character" w:styleId="Zdraznn">
    <w:name w:val="Emphasis"/>
    <w:uiPriority w:val="20"/>
    <w:qFormat/>
    <w:rsid w:val="006E0055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6E005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0055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E0055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005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0055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6E0055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6E0055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6E0055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6E0055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6E0055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005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E00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055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E00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055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47E"/>
    <w:rPr>
      <w:rFonts w:ascii="Segoe UI" w:hAnsi="Segoe UI" w:cs="Segoe UI"/>
      <w:sz w:val="18"/>
      <w:szCs w:val="18"/>
    </w:rPr>
  </w:style>
  <w:style w:type="table" w:styleId="Tabulkasmkou4zvraznn1">
    <w:name w:val="Grid Table 4 Accent 1"/>
    <w:basedOn w:val="Normlntabulka"/>
    <w:uiPriority w:val="49"/>
    <w:rsid w:val="005A70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2B"/>
    <w:rsid w:val="001047E2"/>
    <w:rsid w:val="001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5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A269-E316-4C7A-979A-C3E34C02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2862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Habrmanová</dc:creator>
  <cp:keywords/>
  <dc:description/>
  <cp:lastModifiedBy>Blanka Habrmanová</cp:lastModifiedBy>
  <cp:revision>10</cp:revision>
  <cp:lastPrinted>2015-08-20T13:05:00Z</cp:lastPrinted>
  <dcterms:created xsi:type="dcterms:W3CDTF">2015-08-20T00:24:00Z</dcterms:created>
  <dcterms:modified xsi:type="dcterms:W3CDTF">2015-09-03T01:07:00Z</dcterms:modified>
</cp:coreProperties>
</file>